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3DFA2" w14:textId="5680C9BB" w:rsidR="00A228C3" w:rsidRDefault="00EB627D">
      <w:pPr>
        <w:rPr>
          <w:rFonts w:ascii="Times New Roman" w:eastAsia="Times New Roman" w:hAnsi="Times New Roman" w:cs="Times New Roman"/>
        </w:rPr>
      </w:pPr>
      <w:r>
        <w:rPr>
          <w:noProof/>
          <w:lang w:val="de-DE"/>
        </w:rPr>
        <w:drawing>
          <wp:inline distT="0" distB="0" distL="0" distR="0" wp14:anchorId="7CF43FF3" wp14:editId="4146568C">
            <wp:extent cx="5731510" cy="128206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31510" cy="1282065"/>
                    </a:xfrm>
                    <a:prstGeom prst="rect">
                      <a:avLst/>
                    </a:prstGeom>
                    <a:ln/>
                  </pic:spPr>
                </pic:pic>
              </a:graphicData>
            </a:graphic>
          </wp:inline>
        </w:drawing>
      </w:r>
    </w:p>
    <w:tbl>
      <w:tblPr>
        <w:tblStyle w:val="a"/>
        <w:tblW w:w="9016" w:type="dxa"/>
        <w:tblBorders>
          <w:top w:val="nil"/>
          <w:left w:val="nil"/>
          <w:bottom w:val="single" w:sz="12" w:space="0" w:color="000000"/>
          <w:right w:val="nil"/>
          <w:insideH w:val="nil"/>
          <w:insideV w:val="nil"/>
        </w:tblBorders>
        <w:tblLayout w:type="fixed"/>
        <w:tblLook w:val="0400" w:firstRow="0" w:lastRow="0" w:firstColumn="0" w:lastColumn="0" w:noHBand="0" w:noVBand="1"/>
      </w:tblPr>
      <w:tblGrid>
        <w:gridCol w:w="9016"/>
      </w:tblGrid>
      <w:tr w:rsidR="00A228C3" w14:paraId="2D80C882" w14:textId="77777777">
        <w:tc>
          <w:tcPr>
            <w:tcW w:w="9016" w:type="dxa"/>
          </w:tcPr>
          <w:p w14:paraId="00072771" w14:textId="2D1233AE" w:rsidR="00A228C3" w:rsidRDefault="00A228C3">
            <w:pPr>
              <w:tabs>
                <w:tab w:val="left" w:pos="6210"/>
              </w:tabs>
              <w:jc w:val="right"/>
              <w:rPr>
                <w:rFonts w:ascii="Times New Roman" w:eastAsia="Times New Roman" w:hAnsi="Times New Roman" w:cs="Times New Roman"/>
              </w:rPr>
            </w:pPr>
          </w:p>
        </w:tc>
      </w:tr>
    </w:tbl>
    <w:p w14:paraId="4098EE62" w14:textId="77777777" w:rsidR="00A228C3" w:rsidRPr="004E7B2C" w:rsidRDefault="00EB627D" w:rsidP="004E7B2C">
      <w:pPr>
        <w:spacing w:after="0"/>
        <w:ind w:left="270" w:hanging="270"/>
        <w:jc w:val="both"/>
        <w:rPr>
          <w:rFonts w:ascii="Times New Roman" w:eastAsia="Times New Roman" w:hAnsi="Times New Roman" w:cs="Times New Roman"/>
          <w:b/>
          <w:color w:val="000000" w:themeColor="text1"/>
          <w:sz w:val="24"/>
          <w:szCs w:val="24"/>
        </w:rPr>
      </w:pPr>
      <w:r w:rsidRPr="004E7B2C">
        <w:rPr>
          <w:rFonts w:ascii="Times New Roman" w:eastAsia="Times New Roman" w:hAnsi="Times New Roman" w:cs="Times New Roman"/>
          <w:b/>
          <w:color w:val="000000" w:themeColor="text1"/>
          <w:sz w:val="24"/>
          <w:szCs w:val="24"/>
        </w:rPr>
        <w:tab/>
        <w:t>Conference of the Parties</w:t>
      </w:r>
    </w:p>
    <w:p w14:paraId="45FDEDD5" w14:textId="77777777" w:rsidR="00A228C3" w:rsidRPr="004E7B2C" w:rsidRDefault="00EB627D" w:rsidP="004E7B2C">
      <w:pPr>
        <w:spacing w:after="0"/>
        <w:ind w:left="270" w:hanging="270"/>
        <w:jc w:val="both"/>
        <w:rPr>
          <w:rFonts w:ascii="Times New Roman" w:eastAsia="Times New Roman" w:hAnsi="Times New Roman" w:cs="Times New Roman"/>
          <w:b/>
          <w:color w:val="000000" w:themeColor="text1"/>
          <w:sz w:val="20"/>
          <w:szCs w:val="20"/>
        </w:rPr>
      </w:pPr>
      <w:r w:rsidRPr="004E7B2C">
        <w:rPr>
          <w:rFonts w:ascii="Times New Roman" w:eastAsia="Times New Roman" w:hAnsi="Times New Roman" w:cs="Times New Roman"/>
          <w:b/>
          <w:color w:val="000000" w:themeColor="text1"/>
          <w:sz w:val="20"/>
          <w:szCs w:val="20"/>
        </w:rPr>
        <w:tab/>
        <w:t>Twenty-fifth session</w:t>
      </w:r>
    </w:p>
    <w:p w14:paraId="3999E21D" w14:textId="77777777" w:rsidR="00A228C3" w:rsidRPr="004E7B2C" w:rsidRDefault="00EB627D" w:rsidP="004E7B2C">
      <w:pPr>
        <w:spacing w:after="0"/>
        <w:ind w:left="270" w:hanging="270"/>
        <w:jc w:val="both"/>
        <w:rPr>
          <w:rFonts w:ascii="Times New Roman" w:eastAsia="Times New Roman" w:hAnsi="Times New Roman" w:cs="Times New Roman"/>
          <w:b/>
          <w:color w:val="000000" w:themeColor="text1"/>
          <w:sz w:val="20"/>
          <w:szCs w:val="20"/>
        </w:rPr>
      </w:pPr>
      <w:r w:rsidRPr="004E7B2C">
        <w:rPr>
          <w:rFonts w:ascii="Times New Roman" w:eastAsia="Times New Roman" w:hAnsi="Times New Roman" w:cs="Times New Roman"/>
          <w:b/>
          <w:color w:val="000000" w:themeColor="text1"/>
          <w:sz w:val="20"/>
          <w:szCs w:val="20"/>
        </w:rPr>
        <w:tab/>
        <w:t>Cologne, 10 to 12 May 2019</w:t>
      </w:r>
    </w:p>
    <w:p w14:paraId="5F84554A" w14:textId="77777777" w:rsidR="00A228C3" w:rsidRPr="004E7B2C" w:rsidRDefault="00A228C3" w:rsidP="004E7B2C">
      <w:pPr>
        <w:spacing w:after="0"/>
        <w:ind w:left="270" w:hanging="270"/>
        <w:jc w:val="both"/>
        <w:rPr>
          <w:rFonts w:ascii="Times New Roman" w:eastAsia="Times New Roman" w:hAnsi="Times New Roman" w:cs="Times New Roman"/>
          <w:color w:val="000000" w:themeColor="text1"/>
          <w:sz w:val="20"/>
          <w:szCs w:val="20"/>
        </w:rPr>
      </w:pPr>
    </w:p>
    <w:p w14:paraId="72C8E127" w14:textId="77777777" w:rsidR="00A228C3" w:rsidRPr="004E7B2C" w:rsidRDefault="00EB627D" w:rsidP="004E7B2C">
      <w:pPr>
        <w:spacing w:after="0" w:line="240" w:lineRule="auto"/>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color w:val="000000" w:themeColor="text1"/>
          <w:sz w:val="20"/>
          <w:szCs w:val="20"/>
        </w:rPr>
        <w:tab/>
      </w:r>
    </w:p>
    <w:p w14:paraId="1F729D3D" w14:textId="77777777" w:rsidR="00A228C3" w:rsidRPr="004E7B2C" w:rsidRDefault="00EB627D" w:rsidP="004E7B2C">
      <w:pPr>
        <w:ind w:right="1106" w:firstLine="1080"/>
        <w:jc w:val="both"/>
        <w:rPr>
          <w:rFonts w:ascii="Times New Roman" w:eastAsia="Times New Roman" w:hAnsi="Times New Roman" w:cs="Times New Roman"/>
          <w:b/>
          <w:color w:val="000000" w:themeColor="text1"/>
        </w:rPr>
      </w:pPr>
      <w:r w:rsidRPr="004E7B2C">
        <w:rPr>
          <w:rFonts w:ascii="Times New Roman" w:eastAsia="Times New Roman" w:hAnsi="Times New Roman" w:cs="Times New Roman"/>
          <w:b/>
          <w:color w:val="000000" w:themeColor="text1"/>
        </w:rPr>
        <w:t>ADOPTION OF THE COLOGNE AGREEMENT</w:t>
      </w:r>
    </w:p>
    <w:p w14:paraId="31F860B3" w14:textId="77777777" w:rsidR="004E7B2C" w:rsidRPr="004E7B2C" w:rsidRDefault="004E7B2C" w:rsidP="004E7B2C">
      <w:pPr>
        <w:ind w:right="1106" w:firstLine="1080"/>
        <w:jc w:val="both"/>
        <w:rPr>
          <w:rFonts w:ascii="Times New Roman" w:eastAsia="Times New Roman" w:hAnsi="Times New Roman" w:cs="Times New Roman"/>
          <w:b/>
          <w:color w:val="000000" w:themeColor="text1"/>
        </w:rPr>
      </w:pPr>
    </w:p>
    <w:p w14:paraId="26D565FC" w14:textId="77777777" w:rsidR="00A228C3" w:rsidRPr="004E7B2C" w:rsidRDefault="00EB627D" w:rsidP="004E7B2C">
      <w:pPr>
        <w:ind w:right="1106" w:firstLine="1080"/>
        <w:jc w:val="both"/>
        <w:rPr>
          <w:rFonts w:ascii="Times New Roman" w:eastAsia="Times New Roman" w:hAnsi="Times New Roman" w:cs="Times New Roman"/>
          <w:b/>
          <w:color w:val="000000" w:themeColor="text1"/>
        </w:rPr>
      </w:pPr>
      <w:r w:rsidRPr="004E7B2C">
        <w:rPr>
          <w:rFonts w:ascii="Times New Roman" w:eastAsia="Times New Roman" w:hAnsi="Times New Roman" w:cs="Times New Roman"/>
          <w:b/>
          <w:color w:val="000000" w:themeColor="text1"/>
        </w:rPr>
        <w:t>Draft decision -/CP.25</w:t>
      </w:r>
    </w:p>
    <w:p w14:paraId="63B643BF" w14:textId="77777777" w:rsidR="00A228C3" w:rsidRPr="004E7B2C" w:rsidRDefault="00EB627D" w:rsidP="004E7B2C">
      <w:pPr>
        <w:spacing w:before="240"/>
        <w:ind w:left="1170" w:right="1106" w:firstLine="540"/>
        <w:jc w:val="both"/>
        <w:rPr>
          <w:rFonts w:ascii="Times New Roman" w:eastAsia="Times New Roman" w:hAnsi="Times New Roman" w:cs="Times New Roman"/>
          <w:i/>
          <w:color w:val="000000" w:themeColor="text1"/>
          <w:sz w:val="20"/>
          <w:szCs w:val="20"/>
        </w:rPr>
      </w:pPr>
      <w:r w:rsidRPr="004E7B2C">
        <w:rPr>
          <w:rFonts w:ascii="Times New Roman" w:eastAsia="Times New Roman" w:hAnsi="Times New Roman" w:cs="Times New Roman"/>
          <w:i/>
          <w:color w:val="000000" w:themeColor="text1"/>
          <w:sz w:val="20"/>
          <w:szCs w:val="20"/>
        </w:rPr>
        <w:t>The</w:t>
      </w:r>
      <w:r w:rsidRPr="004E7B2C">
        <w:rPr>
          <w:rFonts w:ascii="Times New Roman" w:eastAsia="Times New Roman" w:hAnsi="Times New Roman" w:cs="Times New Roman"/>
          <w:color w:val="000000" w:themeColor="text1"/>
          <w:sz w:val="20"/>
          <w:szCs w:val="20"/>
        </w:rPr>
        <w:t xml:space="preserve"> </w:t>
      </w:r>
      <w:r w:rsidRPr="004E7B2C">
        <w:rPr>
          <w:rFonts w:ascii="Times New Roman" w:eastAsia="Times New Roman" w:hAnsi="Times New Roman" w:cs="Times New Roman"/>
          <w:i/>
          <w:color w:val="000000" w:themeColor="text1"/>
          <w:sz w:val="20"/>
          <w:szCs w:val="20"/>
        </w:rPr>
        <w:t>Model Conference of the Parties,</w:t>
      </w:r>
    </w:p>
    <w:p w14:paraId="6251D000" w14:textId="77777777" w:rsidR="00A228C3" w:rsidRPr="004E7B2C" w:rsidRDefault="00EB627D" w:rsidP="004E7B2C">
      <w:pPr>
        <w:ind w:left="1080" w:right="1106" w:firstLine="63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Recalling</w:t>
      </w:r>
      <w:r w:rsidRPr="004E7B2C">
        <w:rPr>
          <w:rFonts w:ascii="Times New Roman" w:eastAsia="Times New Roman" w:hAnsi="Times New Roman" w:cs="Times New Roman"/>
          <w:color w:val="000000" w:themeColor="text1"/>
          <w:sz w:val="20"/>
          <w:szCs w:val="20"/>
        </w:rPr>
        <w:t xml:space="preserve"> relevant decisions of the Conference of the Parties, including decisions 1/CP.16, 1/CP.18, 1/CP.19, 1/CP.20, 1/CP.21, and 1/CP.24,</w:t>
      </w:r>
    </w:p>
    <w:p w14:paraId="77A57321" w14:textId="77777777" w:rsidR="00A228C3" w:rsidRPr="004E7B2C" w:rsidRDefault="00EB627D" w:rsidP="004E7B2C">
      <w:pPr>
        <w:ind w:left="1080" w:right="1106" w:firstLine="63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Acknowledging </w:t>
      </w:r>
      <w:r w:rsidRPr="004E7B2C">
        <w:rPr>
          <w:rFonts w:ascii="Times New Roman" w:eastAsia="Times New Roman" w:hAnsi="Times New Roman" w:cs="Times New Roman"/>
          <w:color w:val="000000" w:themeColor="text1"/>
          <w:sz w:val="20"/>
          <w:szCs w:val="20"/>
        </w:rPr>
        <w:t>the urgent character of climate change and the need to reduce the greenhouse gas (hereinafter referred to as “GHG”) emissions with joint forces,</w:t>
      </w:r>
    </w:p>
    <w:p w14:paraId="213E9EBE" w14:textId="1CDCBBA9" w:rsidR="00A228C3" w:rsidRPr="004E7B2C" w:rsidRDefault="00EB627D" w:rsidP="004E7B2C">
      <w:pPr>
        <w:ind w:left="1080" w:right="1106" w:firstLine="630"/>
        <w:jc w:val="both"/>
        <w:rPr>
          <w:rFonts w:ascii="Times New Roman" w:eastAsia="Times New Roman" w:hAnsi="Times New Roman" w:cs="Times New Roman"/>
          <w:color w:val="000000" w:themeColor="text1"/>
          <w:sz w:val="20"/>
          <w:szCs w:val="20"/>
        </w:rPr>
      </w:pPr>
      <w:bookmarkStart w:id="0" w:name="_gjdgxs" w:colFirst="0" w:colLast="0"/>
      <w:bookmarkEnd w:id="0"/>
      <w:r w:rsidRPr="004E7B2C">
        <w:rPr>
          <w:rFonts w:ascii="Times New Roman" w:eastAsia="Times New Roman" w:hAnsi="Times New Roman" w:cs="Times New Roman"/>
          <w:i/>
          <w:color w:val="000000" w:themeColor="text1"/>
          <w:sz w:val="20"/>
          <w:szCs w:val="20"/>
        </w:rPr>
        <w:t xml:space="preserve">Recognizing </w:t>
      </w:r>
      <w:r w:rsidRPr="004E7B2C">
        <w:rPr>
          <w:rFonts w:ascii="Times New Roman" w:eastAsia="Times New Roman" w:hAnsi="Times New Roman" w:cs="Times New Roman"/>
          <w:color w:val="000000" w:themeColor="text1"/>
          <w:sz w:val="20"/>
          <w:szCs w:val="20"/>
        </w:rPr>
        <w:t xml:space="preserve">the need to maximize synergies between mitigation and adaptation efforts in order to ensure a social, </w:t>
      </w:r>
      <w:r w:rsidR="00EB1177" w:rsidRPr="004E7B2C">
        <w:rPr>
          <w:rFonts w:ascii="Times New Roman" w:eastAsia="Times New Roman" w:hAnsi="Times New Roman" w:cs="Times New Roman"/>
          <w:color w:val="000000" w:themeColor="text1"/>
          <w:sz w:val="20"/>
          <w:szCs w:val="20"/>
        </w:rPr>
        <w:t>economic</w:t>
      </w:r>
      <w:r w:rsidRPr="004E7B2C">
        <w:rPr>
          <w:rFonts w:ascii="Times New Roman" w:eastAsia="Times New Roman" w:hAnsi="Times New Roman" w:cs="Times New Roman"/>
          <w:color w:val="000000" w:themeColor="text1"/>
          <w:sz w:val="20"/>
          <w:szCs w:val="20"/>
        </w:rPr>
        <w:t xml:space="preserve"> and environmentally sustainable future,</w:t>
      </w:r>
    </w:p>
    <w:p w14:paraId="7A5CAC45" w14:textId="77777777" w:rsidR="00A228C3" w:rsidRPr="004E7B2C" w:rsidRDefault="00EB627D" w:rsidP="004E7B2C">
      <w:pPr>
        <w:ind w:left="1080" w:right="1106" w:firstLine="63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Reinforces </w:t>
      </w:r>
      <w:r w:rsidRPr="004E7B2C">
        <w:rPr>
          <w:rFonts w:ascii="Times New Roman" w:eastAsia="Times New Roman" w:hAnsi="Times New Roman" w:cs="Times New Roman"/>
          <w:color w:val="000000" w:themeColor="text1"/>
          <w:sz w:val="20"/>
          <w:szCs w:val="20"/>
        </w:rPr>
        <w:t>the common but differentiated responsibilities of respective Parties to contribute to the effort to combat climate change, in accordance with their respective capabilities, and their right to develop,</w:t>
      </w:r>
    </w:p>
    <w:p w14:paraId="5049DDAF" w14:textId="237BCE06" w:rsidR="00A228C3" w:rsidRPr="004E7B2C" w:rsidRDefault="00EB627D" w:rsidP="004E7B2C">
      <w:pPr>
        <w:ind w:left="1080" w:right="1106" w:firstLine="63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Agreeing</w:t>
      </w:r>
      <w:r w:rsidRPr="004E7B2C">
        <w:rPr>
          <w:rFonts w:ascii="Times New Roman" w:eastAsia="Times New Roman" w:hAnsi="Times New Roman" w:cs="Times New Roman"/>
          <w:color w:val="000000" w:themeColor="text1"/>
          <w:sz w:val="20"/>
          <w:szCs w:val="20"/>
        </w:rPr>
        <w:t xml:space="preserve"> to support efficient international cooperation in order to enable more ambitious climate goals</w:t>
      </w:r>
      <w:r w:rsidR="00A3503B" w:rsidRPr="004E7B2C">
        <w:rPr>
          <w:rFonts w:ascii="Times New Roman" w:eastAsia="Times New Roman" w:hAnsi="Times New Roman" w:cs="Times New Roman"/>
          <w:color w:val="000000" w:themeColor="text1"/>
          <w:sz w:val="20"/>
          <w:szCs w:val="20"/>
        </w:rPr>
        <w:t>,</w:t>
      </w:r>
    </w:p>
    <w:p w14:paraId="3CCA5DEA" w14:textId="374112D5" w:rsidR="00A228C3" w:rsidRDefault="00EB627D" w:rsidP="004E7B2C">
      <w:pPr>
        <w:ind w:left="1080" w:right="1106" w:firstLine="63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Encouraging </w:t>
      </w:r>
      <w:r w:rsidRPr="004E7B2C">
        <w:rPr>
          <w:rFonts w:ascii="Times New Roman" w:eastAsia="Times New Roman" w:hAnsi="Times New Roman" w:cs="Times New Roman"/>
          <w:color w:val="000000" w:themeColor="text1"/>
          <w:sz w:val="20"/>
          <w:szCs w:val="20"/>
        </w:rPr>
        <w:t>all the Parties of the conference to increase their efforts by setting much more ambitious nationally determined contributions (hereinafter referred to as “NDCs”) in the spirit of the agreement,</w:t>
      </w:r>
    </w:p>
    <w:p w14:paraId="567C422E" w14:textId="060124F8" w:rsidR="00404664" w:rsidRPr="004E7B2C" w:rsidRDefault="00404664" w:rsidP="004E7B2C">
      <w:pPr>
        <w:ind w:left="1080" w:right="1106" w:firstLine="630"/>
        <w:jc w:val="both"/>
        <w:rPr>
          <w:rFonts w:ascii="Times New Roman" w:eastAsia="Times New Roman" w:hAnsi="Times New Roman" w:cs="Times New Roman"/>
          <w:color w:val="000000" w:themeColor="text1"/>
          <w:sz w:val="20"/>
          <w:szCs w:val="20"/>
        </w:rPr>
      </w:pPr>
      <w:r>
        <w:rPr>
          <w:rFonts w:ascii="Times New Roman" w:eastAsia="Times New Roman" w:hAnsi="Times New Roman" w:cs="Times New Roman"/>
          <w:i/>
          <w:color w:val="000000" w:themeColor="text1"/>
          <w:sz w:val="20"/>
          <w:szCs w:val="20"/>
        </w:rPr>
        <w:t>Parties agree that in order for the agreements reached at the 25</w:t>
      </w:r>
      <w:r w:rsidRPr="00404664">
        <w:rPr>
          <w:rFonts w:ascii="Times New Roman" w:eastAsia="Times New Roman" w:hAnsi="Times New Roman" w:cs="Times New Roman"/>
          <w:i/>
          <w:color w:val="000000" w:themeColor="text1"/>
          <w:sz w:val="20"/>
          <w:szCs w:val="20"/>
          <w:vertAlign w:val="superscript"/>
        </w:rPr>
        <w:t>th</w:t>
      </w:r>
      <w:r>
        <w:rPr>
          <w:rFonts w:ascii="Times New Roman" w:eastAsia="Times New Roman" w:hAnsi="Times New Roman" w:cs="Times New Roman"/>
          <w:i/>
          <w:color w:val="000000" w:themeColor="text1"/>
          <w:sz w:val="20"/>
          <w:szCs w:val="20"/>
        </w:rPr>
        <w:t xml:space="preserve"> Conference of Parties to the UNFCCC in Cologne to come into force, ratifying parties must account for at least 55% of global GHG emissions. </w:t>
      </w:r>
    </w:p>
    <w:p w14:paraId="21802F20" w14:textId="77777777" w:rsidR="004E7B2C" w:rsidRPr="004E7B2C" w:rsidRDefault="004E7B2C" w:rsidP="004E7B2C">
      <w:pPr>
        <w:pStyle w:val="berschrift1"/>
        <w:jc w:val="both"/>
        <w:rPr>
          <w:color w:val="000000" w:themeColor="text1"/>
        </w:rPr>
      </w:pPr>
    </w:p>
    <w:p w14:paraId="344DA358" w14:textId="77777777" w:rsidR="004E7B2C" w:rsidRPr="004E7B2C" w:rsidRDefault="004E7B2C" w:rsidP="004E7B2C">
      <w:pPr>
        <w:pStyle w:val="berschrift1"/>
        <w:jc w:val="both"/>
        <w:rPr>
          <w:color w:val="000000" w:themeColor="text1"/>
        </w:rPr>
      </w:pPr>
      <w:r w:rsidRPr="004E7B2C">
        <w:rPr>
          <w:color w:val="000000" w:themeColor="text1"/>
        </w:rPr>
        <w:t>MITIGATION</w:t>
      </w:r>
    </w:p>
    <w:p w14:paraId="1487AEE7" w14:textId="77777777" w:rsidR="004E7B2C" w:rsidRPr="004E7B2C" w:rsidRDefault="004E7B2C" w:rsidP="004E7B2C">
      <w:pPr>
        <w:ind w:left="1080" w:right="1106" w:firstLine="630"/>
        <w:jc w:val="both"/>
        <w:rPr>
          <w:rFonts w:ascii="Times New Roman" w:eastAsia="Times New Roman" w:hAnsi="Times New Roman" w:cs="Times New Roman"/>
          <w:color w:val="000000" w:themeColor="text1"/>
          <w:sz w:val="20"/>
          <w:szCs w:val="20"/>
        </w:rPr>
      </w:pPr>
    </w:p>
    <w:p w14:paraId="3A819D98" w14:textId="77777777" w:rsidR="00A228C3" w:rsidRPr="004E7B2C" w:rsidRDefault="00EB627D" w:rsidP="004E7B2C">
      <w:pPr>
        <w:pStyle w:val="berschrift1"/>
        <w:numPr>
          <w:ilvl w:val="0"/>
          <w:numId w:val="2"/>
        </w:numPr>
        <w:jc w:val="both"/>
        <w:rPr>
          <w:color w:val="000000" w:themeColor="text1"/>
        </w:rPr>
      </w:pPr>
      <w:r w:rsidRPr="004E7B2C">
        <w:rPr>
          <w:color w:val="000000" w:themeColor="text1"/>
        </w:rPr>
        <w:t>MITIGATION</w:t>
      </w:r>
    </w:p>
    <w:p w14:paraId="1987A3EB" w14:textId="77777777" w:rsidR="00A228C3" w:rsidRPr="004E7B2C" w:rsidRDefault="00EB627D" w:rsidP="004E7B2C">
      <w:pPr>
        <w:numPr>
          <w:ilvl w:val="0"/>
          <w:numId w:val="3"/>
        </w:numPr>
        <w:pBdr>
          <w:top w:val="nil"/>
          <w:left w:val="nil"/>
          <w:bottom w:val="nil"/>
          <w:right w:val="nil"/>
          <w:between w:val="nil"/>
        </w:pBdr>
        <w:spacing w:before="120" w:after="40"/>
        <w:ind w:left="1080" w:right="1109"/>
        <w:jc w:val="both"/>
        <w:rPr>
          <w:rFonts w:ascii="Times New Roman" w:hAnsi="Times New Roman" w:cs="Times New Roman"/>
          <w:color w:val="000000" w:themeColor="text1"/>
        </w:rPr>
      </w:pPr>
      <w:r w:rsidRPr="004E7B2C">
        <w:rPr>
          <w:rFonts w:ascii="Times New Roman" w:eastAsia="Times New Roman" w:hAnsi="Times New Roman" w:cs="Times New Roman"/>
          <w:i/>
          <w:color w:val="000000" w:themeColor="text1"/>
          <w:sz w:val="20"/>
          <w:szCs w:val="20"/>
        </w:rPr>
        <w:t xml:space="preserve">Agrees </w:t>
      </w:r>
      <w:r w:rsidRPr="004E7B2C">
        <w:rPr>
          <w:rFonts w:ascii="Times New Roman" w:eastAsia="Times New Roman" w:hAnsi="Times New Roman" w:cs="Times New Roman"/>
          <w:color w:val="000000" w:themeColor="text1"/>
          <w:sz w:val="20"/>
          <w:szCs w:val="20"/>
        </w:rPr>
        <w:t>to differentiate the Parties between developed, developing and least developed countries according to the official UN classification;</w:t>
      </w:r>
    </w:p>
    <w:p w14:paraId="03A81DBB" w14:textId="5604BB58" w:rsidR="00A228C3" w:rsidRPr="004E7B2C" w:rsidRDefault="00EB627D" w:rsidP="004E7B2C">
      <w:pPr>
        <w:numPr>
          <w:ilvl w:val="0"/>
          <w:numId w:val="3"/>
        </w:numPr>
        <w:pBdr>
          <w:top w:val="nil"/>
          <w:left w:val="nil"/>
          <w:bottom w:val="nil"/>
          <w:right w:val="nil"/>
          <w:between w:val="nil"/>
        </w:pBd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lastRenderedPageBreak/>
        <w:t xml:space="preserve">Decides </w:t>
      </w:r>
      <w:r w:rsidRPr="004E7B2C">
        <w:rPr>
          <w:rFonts w:ascii="Times New Roman" w:eastAsia="Times New Roman" w:hAnsi="Times New Roman" w:cs="Times New Roman"/>
          <w:color w:val="000000" w:themeColor="text1"/>
          <w:sz w:val="20"/>
          <w:szCs w:val="20"/>
        </w:rPr>
        <w:t>to engage in the necessary measures to strictly li</w:t>
      </w:r>
      <w:r w:rsidR="0068254F">
        <w:rPr>
          <w:rFonts w:ascii="Times New Roman" w:eastAsia="Times New Roman" w:hAnsi="Times New Roman" w:cs="Times New Roman"/>
          <w:color w:val="000000" w:themeColor="text1"/>
          <w:sz w:val="20"/>
          <w:szCs w:val="20"/>
        </w:rPr>
        <w:t xml:space="preserve">mit global warming to at most </w:t>
      </w:r>
      <w:r w:rsidRPr="004E7B2C">
        <w:rPr>
          <w:rFonts w:ascii="Times New Roman" w:eastAsia="Times New Roman" w:hAnsi="Times New Roman" w:cs="Times New Roman"/>
          <w:b/>
          <w:color w:val="000000" w:themeColor="text1"/>
          <w:sz w:val="20"/>
          <w:szCs w:val="20"/>
        </w:rPr>
        <w:t xml:space="preserve"> </w:t>
      </w:r>
      <w:r w:rsidRPr="004E7B2C">
        <w:rPr>
          <w:rFonts w:ascii="Times New Roman" w:eastAsia="Times New Roman" w:hAnsi="Times New Roman" w:cs="Times New Roman"/>
          <w:color w:val="000000" w:themeColor="text1"/>
          <w:sz w:val="20"/>
          <w:szCs w:val="20"/>
        </w:rPr>
        <w:t>1.5</w:t>
      </w:r>
      <w:r w:rsidRPr="004E7B2C">
        <w:rPr>
          <w:rFonts w:ascii="Times New Roman" w:eastAsia="Times New Roman" w:hAnsi="Times New Roman" w:cs="Times New Roman"/>
          <w:b/>
          <w:color w:val="000000" w:themeColor="text1"/>
          <w:sz w:val="20"/>
          <w:szCs w:val="20"/>
        </w:rPr>
        <w:t xml:space="preserve"> </w:t>
      </w:r>
      <w:r w:rsidRPr="004E7B2C">
        <w:rPr>
          <w:rFonts w:ascii="Times New Roman" w:eastAsia="Times New Roman" w:hAnsi="Times New Roman" w:cs="Times New Roman"/>
          <w:color w:val="000000" w:themeColor="text1"/>
          <w:sz w:val="20"/>
          <w:szCs w:val="20"/>
        </w:rPr>
        <w:t>°C increase of temperature compared to pre-industrial levels;</w:t>
      </w:r>
    </w:p>
    <w:p w14:paraId="63893A9D" w14:textId="77777777" w:rsidR="00A228C3" w:rsidRPr="004E7B2C" w:rsidRDefault="00EB627D" w:rsidP="004E7B2C">
      <w:pPr>
        <w:numPr>
          <w:ilvl w:val="0"/>
          <w:numId w:val="3"/>
        </w:numPr>
        <w:pBdr>
          <w:top w:val="nil"/>
          <w:left w:val="nil"/>
          <w:bottom w:val="nil"/>
          <w:right w:val="nil"/>
          <w:between w:val="nil"/>
        </w:pBd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Agrees </w:t>
      </w:r>
      <w:r w:rsidRPr="004E7B2C">
        <w:rPr>
          <w:rFonts w:ascii="Times New Roman" w:eastAsia="Times New Roman" w:hAnsi="Times New Roman" w:cs="Times New Roman"/>
          <w:color w:val="000000" w:themeColor="text1"/>
          <w:sz w:val="20"/>
          <w:szCs w:val="20"/>
        </w:rPr>
        <w:t>to reach global peaking of GHG emissions latest by 2025, the national GHG emission peak of developed countries shall be reached latest 2020, the aggregate GHG emission peak of developing and least developed countries shall be reached by latest 2030, the national GHG emission peak of developing and least developed countries shall be reached by latest 2035, conditional to sufficient financial and technical support from developed countries;</w:t>
      </w:r>
    </w:p>
    <w:p w14:paraId="229A9545" w14:textId="77777777" w:rsidR="00A228C3" w:rsidRPr="004E7B2C" w:rsidRDefault="00EB627D" w:rsidP="004E7B2C">
      <w:pPr>
        <w:pStyle w:val="berschrift1"/>
        <w:numPr>
          <w:ilvl w:val="0"/>
          <w:numId w:val="2"/>
        </w:numPr>
        <w:ind w:left="990" w:hanging="630"/>
        <w:jc w:val="both"/>
        <w:rPr>
          <w:color w:val="000000" w:themeColor="text1"/>
        </w:rPr>
      </w:pPr>
      <w:r w:rsidRPr="004E7B2C">
        <w:rPr>
          <w:color w:val="000000" w:themeColor="text1"/>
        </w:rPr>
        <w:t xml:space="preserve"> FINANCING</w:t>
      </w:r>
    </w:p>
    <w:p w14:paraId="1F5D31B0" w14:textId="77777777" w:rsidR="00A228C3" w:rsidRPr="004E7B2C" w:rsidRDefault="00EB627D" w:rsidP="0068254F">
      <w:pPr>
        <w:numPr>
          <w:ilvl w:val="0"/>
          <w:numId w:val="14"/>
        </w:numPr>
        <w:pBdr>
          <w:top w:val="nil"/>
          <w:left w:val="nil"/>
          <w:bottom w:val="nil"/>
          <w:right w:val="nil"/>
          <w:between w:val="nil"/>
        </w:pBdr>
        <w:spacing w:before="120" w:after="40"/>
        <w:ind w:right="1109"/>
        <w:jc w:val="both"/>
        <w:rPr>
          <w:rFonts w:ascii="Times New Roman" w:hAnsi="Times New Roman" w:cs="Times New Roman"/>
          <w:color w:val="000000" w:themeColor="text1"/>
        </w:rPr>
      </w:pPr>
      <w:r w:rsidRPr="004E7B2C">
        <w:rPr>
          <w:rFonts w:ascii="Times New Roman" w:eastAsia="Times New Roman" w:hAnsi="Times New Roman" w:cs="Times New Roman"/>
          <w:i/>
          <w:color w:val="000000" w:themeColor="text1"/>
          <w:sz w:val="20"/>
          <w:szCs w:val="20"/>
        </w:rPr>
        <w:t xml:space="preserve">Reinforcing </w:t>
      </w:r>
      <w:r w:rsidRPr="004E7B2C">
        <w:rPr>
          <w:rFonts w:ascii="Times New Roman" w:eastAsia="Times New Roman" w:hAnsi="Times New Roman" w:cs="Times New Roman"/>
          <w:color w:val="000000" w:themeColor="text1"/>
          <w:sz w:val="20"/>
          <w:szCs w:val="20"/>
        </w:rPr>
        <w:t>the decisions 1/CP.21 Article 9 that developed Parties shall provide financial resources to assist developing countries and least developed countries Parties with respect to both mitigation and adaptation in continuation of their existing obligations under the Convention;</w:t>
      </w:r>
    </w:p>
    <w:p w14:paraId="5547FA90" w14:textId="77777777"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hAnsi="Times New Roman" w:cs="Times New Roman"/>
          <w:color w:val="000000" w:themeColor="text1"/>
        </w:rPr>
      </w:pPr>
      <w:r w:rsidRPr="004E7B2C">
        <w:rPr>
          <w:rFonts w:ascii="Times New Roman" w:eastAsia="Times New Roman" w:hAnsi="Times New Roman" w:cs="Times New Roman"/>
          <w:i/>
          <w:color w:val="000000" w:themeColor="text1"/>
          <w:sz w:val="20"/>
          <w:szCs w:val="20"/>
        </w:rPr>
        <w:t xml:space="preserve">Recalling </w:t>
      </w:r>
      <w:r w:rsidRPr="004E7B2C">
        <w:rPr>
          <w:rFonts w:ascii="Times New Roman" w:eastAsia="Times New Roman" w:hAnsi="Times New Roman" w:cs="Times New Roman"/>
          <w:color w:val="000000" w:themeColor="text1"/>
          <w:sz w:val="20"/>
          <w:szCs w:val="20"/>
        </w:rPr>
        <w:t>the commitment of the Parties to contribute $100 bn yearly by 2020 to the Green Climate Fund (hereinafter referred to as "GCF");</w:t>
      </w:r>
    </w:p>
    <w:p w14:paraId="4564470B" w14:textId="59852B2B"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hAnsi="Times New Roman" w:cs="Times New Roman"/>
          <w:color w:val="000000" w:themeColor="text1"/>
        </w:rPr>
      </w:pPr>
      <w:r w:rsidRPr="004E7B2C">
        <w:rPr>
          <w:rFonts w:ascii="Times New Roman" w:eastAsia="Times New Roman" w:hAnsi="Times New Roman" w:cs="Times New Roman"/>
          <w:i/>
          <w:color w:val="000000" w:themeColor="text1"/>
          <w:sz w:val="20"/>
          <w:szCs w:val="20"/>
        </w:rPr>
        <w:t xml:space="preserve">Recognize </w:t>
      </w:r>
      <w:r w:rsidRPr="004E7B2C">
        <w:rPr>
          <w:rFonts w:ascii="Times New Roman" w:eastAsia="Times New Roman" w:hAnsi="Times New Roman" w:cs="Times New Roman"/>
          <w:color w:val="000000" w:themeColor="text1"/>
          <w:sz w:val="20"/>
          <w:szCs w:val="20"/>
        </w:rPr>
        <w:t xml:space="preserve">the need </w:t>
      </w:r>
      <w:r w:rsidR="00917A15" w:rsidRPr="004E7B2C">
        <w:rPr>
          <w:rFonts w:ascii="Times New Roman" w:eastAsia="Times New Roman" w:hAnsi="Times New Roman" w:cs="Times New Roman"/>
          <w:color w:val="000000" w:themeColor="text1"/>
          <w:sz w:val="20"/>
          <w:szCs w:val="20"/>
        </w:rPr>
        <w:t xml:space="preserve">of </w:t>
      </w:r>
      <w:r w:rsidRPr="004E7B2C">
        <w:rPr>
          <w:rFonts w:ascii="Times New Roman" w:eastAsia="Times New Roman" w:hAnsi="Times New Roman" w:cs="Times New Roman"/>
          <w:color w:val="000000" w:themeColor="text1"/>
          <w:sz w:val="20"/>
          <w:szCs w:val="20"/>
        </w:rPr>
        <w:t>$300 bn to the GCF yearly by 2025, $500 bn yearly to the GCF by 2030;</w:t>
      </w:r>
    </w:p>
    <w:p w14:paraId="33065DF1" w14:textId="77777777" w:rsidR="00A228C3" w:rsidRPr="004E7B2C" w:rsidRDefault="00EB627D" w:rsidP="0068254F">
      <w:pPr>
        <w:numPr>
          <w:ilvl w:val="0"/>
          <w:numId w:val="14"/>
        </w:numP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Decides </w:t>
      </w:r>
      <w:r w:rsidRPr="004E7B2C">
        <w:rPr>
          <w:rFonts w:ascii="Times New Roman" w:eastAsia="Times New Roman" w:hAnsi="Times New Roman" w:cs="Times New Roman"/>
          <w:color w:val="000000" w:themeColor="text1"/>
          <w:sz w:val="20"/>
          <w:szCs w:val="20"/>
        </w:rPr>
        <w:t>that from the period of 2025 onwards the developing country Parties recognize their common but differentiated responsibility in contributing to the GCF according to their capabilities;</w:t>
      </w:r>
    </w:p>
    <w:p w14:paraId="164EC470" w14:textId="77777777"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hAnsi="Times New Roman" w:cs="Times New Roman"/>
          <w:color w:val="000000" w:themeColor="text1"/>
        </w:rPr>
      </w:pPr>
      <w:r w:rsidRPr="004E7B2C">
        <w:rPr>
          <w:rFonts w:ascii="Times New Roman" w:eastAsia="Times New Roman" w:hAnsi="Times New Roman" w:cs="Times New Roman"/>
          <w:i/>
          <w:color w:val="000000" w:themeColor="text1"/>
          <w:sz w:val="20"/>
          <w:szCs w:val="20"/>
        </w:rPr>
        <w:t>Encourages</w:t>
      </w:r>
      <w:r w:rsidRPr="004E7B2C">
        <w:rPr>
          <w:rFonts w:ascii="Times New Roman" w:eastAsia="Times New Roman" w:hAnsi="Times New Roman" w:cs="Times New Roman"/>
          <w:color w:val="000000" w:themeColor="text1"/>
          <w:sz w:val="20"/>
          <w:szCs w:val="20"/>
        </w:rPr>
        <w:t xml:space="preserve"> the Parties to seek alternative sources of funding, including innovative financing schemes, to allow joint financing from the public and private sector;</w:t>
      </w:r>
      <w:r w:rsidRPr="004E7B2C">
        <w:rPr>
          <w:rFonts w:ascii="Times New Roman" w:hAnsi="Times New Roman" w:cs="Times New Roman"/>
          <w:color w:val="000000" w:themeColor="text1"/>
          <w:sz w:val="16"/>
          <w:szCs w:val="16"/>
        </w:rPr>
        <w:t xml:space="preserve"> </w:t>
      </w:r>
    </w:p>
    <w:p w14:paraId="66D2C704" w14:textId="7E7AAC8E"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eastAsia="Times New Roman" w:hAnsi="Times New Roman" w:cs="Times New Roman"/>
          <w:i/>
          <w:color w:val="000000" w:themeColor="text1"/>
          <w:sz w:val="20"/>
          <w:szCs w:val="20"/>
        </w:rPr>
      </w:pPr>
      <w:r w:rsidRPr="004E7B2C">
        <w:rPr>
          <w:rFonts w:ascii="Times New Roman" w:eastAsia="Times New Roman" w:hAnsi="Times New Roman" w:cs="Times New Roman"/>
          <w:i/>
          <w:color w:val="000000" w:themeColor="text1"/>
          <w:sz w:val="20"/>
          <w:szCs w:val="20"/>
        </w:rPr>
        <w:t xml:space="preserve">Decides </w:t>
      </w:r>
      <w:r w:rsidRPr="004E7B2C">
        <w:rPr>
          <w:rFonts w:ascii="Times New Roman" w:eastAsia="Times New Roman" w:hAnsi="Times New Roman" w:cs="Times New Roman"/>
          <w:color w:val="000000" w:themeColor="text1"/>
          <w:sz w:val="20"/>
          <w:szCs w:val="20"/>
        </w:rPr>
        <w:t>that developed country Parties will contribute a minimum of 0.015% of the GDP to the GCF annually until 2025 to be adapted to the increased funding need thereafter;</w:t>
      </w:r>
    </w:p>
    <w:p w14:paraId="3F29C57C" w14:textId="77777777"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eastAsia="Times New Roman" w:hAnsi="Times New Roman" w:cs="Times New Roman"/>
          <w:i/>
          <w:color w:val="000000" w:themeColor="text1"/>
          <w:sz w:val="20"/>
          <w:szCs w:val="20"/>
        </w:rPr>
      </w:pPr>
      <w:r w:rsidRPr="004E7B2C">
        <w:rPr>
          <w:rFonts w:ascii="Times New Roman" w:eastAsia="Times New Roman" w:hAnsi="Times New Roman" w:cs="Times New Roman"/>
          <w:i/>
          <w:color w:val="000000" w:themeColor="text1"/>
          <w:sz w:val="20"/>
          <w:szCs w:val="20"/>
        </w:rPr>
        <w:t xml:space="preserve">Recognizes </w:t>
      </w:r>
      <w:r w:rsidRPr="004E7B2C">
        <w:rPr>
          <w:rFonts w:ascii="Times New Roman" w:eastAsia="Times New Roman" w:hAnsi="Times New Roman" w:cs="Times New Roman"/>
          <w:color w:val="000000" w:themeColor="text1"/>
          <w:sz w:val="20"/>
          <w:szCs w:val="20"/>
        </w:rPr>
        <w:t>that contributions of 0.5% of GDP by developed country Parties will be needed to sufficiently fund the GCF;</w:t>
      </w:r>
    </w:p>
    <w:p w14:paraId="408A0881" w14:textId="77777777"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i/>
          <w:color w:val="000000" w:themeColor="text1"/>
          <w:sz w:val="20"/>
          <w:szCs w:val="20"/>
        </w:rPr>
        <w:t xml:space="preserve">Decides </w:t>
      </w:r>
      <w:r w:rsidRPr="004E7B2C">
        <w:rPr>
          <w:rFonts w:ascii="Times New Roman" w:eastAsia="Times New Roman" w:hAnsi="Times New Roman" w:cs="Times New Roman"/>
          <w:color w:val="000000" w:themeColor="text1"/>
          <w:sz w:val="20"/>
          <w:szCs w:val="20"/>
        </w:rPr>
        <w:t>that the use of funds from the GCF for the mitigation effort will be bound to strict requirements regarding:</w:t>
      </w:r>
    </w:p>
    <w:p w14:paraId="0A750A45" w14:textId="77777777" w:rsidR="00A228C3" w:rsidRPr="004E7B2C" w:rsidRDefault="00EB627D" w:rsidP="004E7B2C">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color w:val="000000" w:themeColor="text1"/>
          <w:sz w:val="20"/>
          <w:szCs w:val="20"/>
        </w:rPr>
        <w:t>Reduction of GHG emissions,</w:t>
      </w:r>
    </w:p>
    <w:p w14:paraId="47179E88" w14:textId="77777777" w:rsidR="00A228C3" w:rsidRPr="004E7B2C" w:rsidRDefault="00EB627D" w:rsidP="004E7B2C">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color w:val="000000" w:themeColor="text1"/>
          <w:sz w:val="20"/>
          <w:szCs w:val="20"/>
        </w:rPr>
        <w:t>Renewable energy adoption,</w:t>
      </w:r>
    </w:p>
    <w:p w14:paraId="70299A59" w14:textId="77777777" w:rsidR="00A228C3" w:rsidRPr="004E7B2C" w:rsidRDefault="00EB627D" w:rsidP="004E7B2C">
      <w:pPr>
        <w:numPr>
          <w:ilvl w:val="0"/>
          <w:numId w:val="1"/>
        </w:numPr>
        <w:pBdr>
          <w:top w:val="nil"/>
          <w:left w:val="nil"/>
          <w:bottom w:val="nil"/>
          <w:right w:val="nil"/>
          <w:between w:val="nil"/>
        </w:pBdr>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color w:val="000000" w:themeColor="text1"/>
          <w:sz w:val="20"/>
          <w:szCs w:val="20"/>
        </w:rPr>
        <w:t>And energy efficiency improvements;</w:t>
      </w:r>
    </w:p>
    <w:p w14:paraId="07134B76" w14:textId="77777777" w:rsidR="00A228C3" w:rsidRPr="004E7B2C" w:rsidRDefault="00EB627D" w:rsidP="0068254F">
      <w:pPr>
        <w:numPr>
          <w:ilvl w:val="0"/>
          <w:numId w:val="14"/>
        </w:numPr>
        <w:pBdr>
          <w:top w:val="nil"/>
          <w:left w:val="nil"/>
          <w:bottom w:val="nil"/>
          <w:right w:val="nil"/>
          <w:between w:val="nil"/>
        </w:pBd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eastAsia="Times New Roman" w:hAnsi="Times New Roman" w:cs="Times New Roman"/>
          <w:color w:val="000000" w:themeColor="text1"/>
          <w:sz w:val="20"/>
          <w:szCs w:val="20"/>
        </w:rPr>
        <w:t>The governance structure of the GCF composed of 11 members, including one representative from each of the five official UN regions (Africa, Asia, Latin America and the Caribbean, Central and Eastern Europe, and Western Europe and Others), one from the small island developing States, two from developed country Parties, one from developing country Parties, one from least developed country Parties, and one from countries most affected by climate change;</w:t>
      </w:r>
    </w:p>
    <w:p w14:paraId="0A429C8D" w14:textId="77777777" w:rsidR="00A228C3" w:rsidRPr="004E7B2C" w:rsidRDefault="00A228C3" w:rsidP="004E7B2C">
      <w:pPr>
        <w:pBdr>
          <w:top w:val="nil"/>
          <w:left w:val="nil"/>
          <w:bottom w:val="nil"/>
          <w:right w:val="nil"/>
          <w:between w:val="nil"/>
        </w:pBdr>
        <w:spacing w:before="120" w:after="40"/>
        <w:ind w:left="3240" w:right="1109"/>
        <w:jc w:val="both"/>
        <w:rPr>
          <w:rFonts w:ascii="Times New Roman" w:eastAsia="Times New Roman" w:hAnsi="Times New Roman" w:cs="Times New Roman"/>
          <w:b/>
          <w:color w:val="000000" w:themeColor="text1"/>
          <w:sz w:val="20"/>
          <w:szCs w:val="20"/>
        </w:rPr>
      </w:pPr>
    </w:p>
    <w:p w14:paraId="387C86EB" w14:textId="77777777" w:rsidR="00A228C3" w:rsidRPr="004E7B2C" w:rsidRDefault="00EB627D" w:rsidP="004E7B2C">
      <w:pPr>
        <w:pStyle w:val="berschrift1"/>
        <w:numPr>
          <w:ilvl w:val="0"/>
          <w:numId w:val="2"/>
        </w:numPr>
        <w:jc w:val="both"/>
        <w:rPr>
          <w:color w:val="000000" w:themeColor="text1"/>
        </w:rPr>
      </w:pPr>
      <w:r w:rsidRPr="004E7B2C">
        <w:rPr>
          <w:color w:val="000000" w:themeColor="text1"/>
        </w:rPr>
        <w:t>COMPLIANCE</w:t>
      </w:r>
    </w:p>
    <w:p w14:paraId="5FFB1557" w14:textId="3D58AC82" w:rsidR="00A228C3" w:rsidRPr="004E7B2C" w:rsidRDefault="00EB627D" w:rsidP="0068254F">
      <w:pPr>
        <w:numPr>
          <w:ilvl w:val="0"/>
          <w:numId w:val="15"/>
        </w:numPr>
        <w:pBdr>
          <w:top w:val="nil"/>
          <w:left w:val="nil"/>
          <w:bottom w:val="nil"/>
          <w:right w:val="nil"/>
          <w:between w:val="nil"/>
        </w:pBdr>
        <w:spacing w:before="120" w:after="40"/>
        <w:ind w:right="1109"/>
        <w:jc w:val="both"/>
        <w:rPr>
          <w:rFonts w:ascii="Times New Roman" w:eastAsia="Times New Roman" w:hAnsi="Times New Roman" w:cs="Times New Roman"/>
          <w:color w:val="000000" w:themeColor="text1"/>
          <w:sz w:val="20"/>
          <w:szCs w:val="20"/>
        </w:rPr>
      </w:pPr>
      <w:bookmarkStart w:id="1" w:name="_GoBack"/>
      <w:r w:rsidRPr="004E7B2C">
        <w:rPr>
          <w:rFonts w:ascii="Times New Roman" w:eastAsia="Times New Roman" w:hAnsi="Times New Roman" w:cs="Times New Roman"/>
          <w:i/>
          <w:color w:val="000000" w:themeColor="text1"/>
          <w:sz w:val="20"/>
          <w:szCs w:val="20"/>
        </w:rPr>
        <w:t>Requires</w:t>
      </w:r>
      <w:r w:rsidRPr="004E7B2C">
        <w:rPr>
          <w:rFonts w:ascii="Times New Roman" w:eastAsia="Times New Roman" w:hAnsi="Times New Roman" w:cs="Times New Roman"/>
          <w:color w:val="000000" w:themeColor="text1"/>
          <w:sz w:val="20"/>
          <w:szCs w:val="20"/>
        </w:rPr>
        <w:t xml:space="preserve"> the countries that do not meet their NDCs by 2025 to provide comprehensive reports to the Compliance Committee and to work out concrete measures in order to meet the NDCs</w:t>
      </w:r>
      <w:bookmarkEnd w:id="1"/>
      <w:r w:rsidRPr="004E7B2C">
        <w:rPr>
          <w:rFonts w:ascii="Times New Roman" w:eastAsia="Times New Roman" w:hAnsi="Times New Roman" w:cs="Times New Roman"/>
          <w:color w:val="000000" w:themeColor="text1"/>
          <w:sz w:val="20"/>
          <w:szCs w:val="20"/>
        </w:rPr>
        <w:t xml:space="preserve"> [latest] by the next cycle (i.e. by 2030);</w:t>
      </w:r>
    </w:p>
    <w:p w14:paraId="0DDED0FE" w14:textId="3F3382C0" w:rsidR="00F3366A" w:rsidRPr="004E7B2C" w:rsidRDefault="00F3366A" w:rsidP="0068254F">
      <w:pPr>
        <w:numPr>
          <w:ilvl w:val="0"/>
          <w:numId w:val="15"/>
        </w:numPr>
        <w:pBdr>
          <w:top w:val="nil"/>
          <w:left w:val="nil"/>
          <w:bottom w:val="nil"/>
          <w:right w:val="nil"/>
          <w:between w:val="nil"/>
        </w:pBdr>
        <w:spacing w:before="120" w:after="40"/>
        <w:ind w:left="1080" w:right="1109"/>
        <w:jc w:val="both"/>
        <w:rPr>
          <w:rFonts w:ascii="Times New Roman" w:eastAsia="Times New Roman" w:hAnsi="Times New Roman" w:cs="Times New Roman"/>
          <w:color w:val="000000" w:themeColor="text1"/>
          <w:sz w:val="20"/>
          <w:szCs w:val="20"/>
        </w:rPr>
      </w:pPr>
      <w:r w:rsidRPr="004E7B2C">
        <w:rPr>
          <w:rFonts w:ascii="Times New Roman" w:hAnsi="Times New Roman" w:cs="Times New Roman"/>
          <w:i/>
          <w:iCs/>
          <w:color w:val="000000" w:themeColor="text1"/>
          <w:sz w:val="20"/>
          <w:szCs w:val="20"/>
        </w:rPr>
        <w:lastRenderedPageBreak/>
        <w:t xml:space="preserve">Further requires </w:t>
      </w:r>
      <w:r w:rsidRPr="004E7B2C">
        <w:rPr>
          <w:rFonts w:ascii="Times New Roman" w:hAnsi="Times New Roman" w:cs="Times New Roman"/>
          <w:color w:val="000000" w:themeColor="text1"/>
          <w:sz w:val="20"/>
          <w:szCs w:val="20"/>
        </w:rPr>
        <w:t>that all Parties agree that a compliance system for meeting NDC targets, through an administrative process, will be discussed in the next session.</w:t>
      </w:r>
    </w:p>
    <w:p w14:paraId="33C73976" w14:textId="2F5ED4CE" w:rsidR="00A228C3" w:rsidRPr="004E7B2C" w:rsidRDefault="00A228C3" w:rsidP="004E7B2C">
      <w:pPr>
        <w:pBdr>
          <w:top w:val="nil"/>
          <w:left w:val="nil"/>
          <w:bottom w:val="nil"/>
          <w:right w:val="nil"/>
          <w:between w:val="nil"/>
        </w:pBdr>
        <w:spacing w:before="120" w:after="40"/>
        <w:ind w:right="1109"/>
        <w:jc w:val="both"/>
        <w:rPr>
          <w:rFonts w:ascii="Times New Roman" w:eastAsia="Times New Roman" w:hAnsi="Times New Roman" w:cs="Times New Roman"/>
          <w:b/>
          <w:color w:val="000000" w:themeColor="text1"/>
          <w:sz w:val="20"/>
          <w:szCs w:val="20"/>
        </w:rPr>
      </w:pPr>
    </w:p>
    <w:p w14:paraId="449347CA" w14:textId="6E1C4AB8" w:rsidR="004E7B2C" w:rsidRPr="004E7B2C" w:rsidRDefault="004E7B2C" w:rsidP="004E7B2C">
      <w:pPr>
        <w:pStyle w:val="berschrift1"/>
        <w:jc w:val="both"/>
        <w:rPr>
          <w:color w:val="000000" w:themeColor="text1"/>
        </w:rPr>
      </w:pPr>
      <w:r w:rsidRPr="004E7B2C">
        <w:rPr>
          <w:color w:val="000000" w:themeColor="text1"/>
        </w:rPr>
        <w:t>MARKET MECHANISMS</w:t>
      </w:r>
    </w:p>
    <w:p w14:paraId="0981F59D" w14:textId="5A4CB2EC" w:rsidR="004E7B2C" w:rsidRPr="004E7B2C" w:rsidRDefault="004E7B2C" w:rsidP="004E7B2C">
      <w:pPr>
        <w:pStyle w:val="berschrift1"/>
        <w:numPr>
          <w:ilvl w:val="0"/>
          <w:numId w:val="7"/>
        </w:numPr>
        <w:jc w:val="both"/>
        <w:rPr>
          <w:color w:val="000000" w:themeColor="text1"/>
        </w:rPr>
      </w:pPr>
      <w:r w:rsidRPr="004E7B2C">
        <w:rPr>
          <w:color w:val="000000" w:themeColor="text1"/>
        </w:rPr>
        <w:t>SUSTAINABLE DEVELOPMENT MECHANISM</w:t>
      </w:r>
    </w:p>
    <w:p w14:paraId="2E35FF1C" w14:textId="77777777" w:rsidR="004E7B2C" w:rsidRPr="004E7B2C" w:rsidRDefault="004E7B2C" w:rsidP="004E7B2C">
      <w:pPr>
        <w:shd w:val="clear" w:color="auto" w:fill="FFFFFF"/>
        <w:spacing w:before="120" w:after="120" w:line="240" w:lineRule="auto"/>
        <w:ind w:right="1140"/>
        <w:jc w:val="both"/>
        <w:rPr>
          <w:rFonts w:ascii="Times New Roman" w:eastAsia="Times New Roman" w:hAnsi="Times New Roman" w:cs="Times New Roman"/>
          <w:b/>
          <w:color w:val="000000" w:themeColor="text1"/>
        </w:rPr>
      </w:pPr>
    </w:p>
    <w:p w14:paraId="6888A39F" w14:textId="0E733702"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i/>
          <w:color w:val="000000" w:themeColor="text1"/>
        </w:rPr>
        <w:t xml:space="preserve">Agrees </w:t>
      </w:r>
      <w:r w:rsidRPr="004E7B2C">
        <w:rPr>
          <w:rFonts w:ascii="Times New Roman" w:eastAsia="Times New Roman" w:hAnsi="Times New Roman" w:cs="Times New Roman"/>
          <w:color w:val="000000" w:themeColor="text1"/>
        </w:rPr>
        <w:t xml:space="preserve">to establish an international and independent body that ensures additionality </w:t>
      </w:r>
      <w:r w:rsidR="00704C67">
        <w:rPr>
          <w:rFonts w:ascii="Times New Roman" w:eastAsia="Times New Roman" w:hAnsi="Times New Roman" w:cs="Times New Roman"/>
          <w:color w:val="000000" w:themeColor="text1"/>
        </w:rPr>
        <w:t>and monitors for compliance of SDM</w:t>
      </w:r>
      <w:r w:rsidRPr="004E7B2C">
        <w:rPr>
          <w:rFonts w:ascii="Times New Roman" w:eastAsia="Times New Roman" w:hAnsi="Times New Roman" w:cs="Times New Roman"/>
          <w:color w:val="000000" w:themeColor="text1"/>
        </w:rPr>
        <w:t xml:space="preserve"> projects;</w:t>
      </w:r>
    </w:p>
    <w:p w14:paraId="5CF9EB6B"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i/>
          <w:color w:val="000000" w:themeColor="text1"/>
        </w:rPr>
        <w:t xml:space="preserve">Encourages </w:t>
      </w:r>
      <w:r w:rsidRPr="004E7B2C">
        <w:rPr>
          <w:rFonts w:ascii="Times New Roman" w:eastAsia="Times New Roman" w:hAnsi="Times New Roman" w:cs="Times New Roman"/>
          <w:color w:val="000000" w:themeColor="text1"/>
        </w:rPr>
        <w:t>the cooperation of public and private entities without differentiation;</w:t>
      </w:r>
    </w:p>
    <w:p w14:paraId="7AC94DD8"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i/>
          <w:color w:val="000000" w:themeColor="text1"/>
        </w:rPr>
        <w:t xml:space="preserve">Agrees </w:t>
      </w:r>
      <w:r w:rsidRPr="004E7B2C">
        <w:rPr>
          <w:rFonts w:ascii="Times New Roman" w:eastAsia="Times New Roman" w:hAnsi="Times New Roman" w:cs="Times New Roman"/>
          <w:color w:val="000000" w:themeColor="text1"/>
        </w:rPr>
        <w:t>that the current CDM projects and credits shall be transitioned to the new the SDM scheme;</w:t>
      </w:r>
    </w:p>
    <w:p w14:paraId="17BC5FD7"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i/>
          <w:color w:val="000000" w:themeColor="text1"/>
        </w:rPr>
        <w:t xml:space="preserve">Decides </w:t>
      </w:r>
      <w:r w:rsidRPr="004E7B2C">
        <w:rPr>
          <w:rFonts w:ascii="Times New Roman" w:eastAsia="Times New Roman" w:hAnsi="Times New Roman" w:cs="Times New Roman"/>
          <w:color w:val="000000" w:themeColor="text1"/>
        </w:rPr>
        <w:t>that the Parties are allowed to consider emissions reductions achieved abroad as contributions to theirs NDCs target.</w:t>
      </w:r>
    </w:p>
    <w:p w14:paraId="30B58510"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All SDM projects shall support sustainable development.</w:t>
      </w:r>
    </w:p>
    <w:p w14:paraId="3EBE7501"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i/>
          <w:color w:val="000000" w:themeColor="text1"/>
        </w:rPr>
        <w:t xml:space="preserve">Agrees </w:t>
      </w:r>
      <w:r w:rsidRPr="004E7B2C">
        <w:rPr>
          <w:rFonts w:ascii="Times New Roman" w:eastAsia="Times New Roman" w:hAnsi="Times New Roman" w:cs="Times New Roman"/>
          <w:color w:val="000000" w:themeColor="text1"/>
        </w:rPr>
        <w:t>that the following types of projects will be eligible for SDM credits</w:t>
      </w:r>
    </w:p>
    <w:p w14:paraId="2B9B7810" w14:textId="77777777" w:rsidR="004E7B2C" w:rsidRPr="004E7B2C" w:rsidRDefault="004E7B2C" w:rsidP="004E7B2C">
      <w:pPr>
        <w:numPr>
          <w:ilvl w:val="1"/>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Renewable energy sources</w:t>
      </w:r>
    </w:p>
    <w:p w14:paraId="0659C958" w14:textId="77777777" w:rsidR="004E7B2C" w:rsidRPr="004E7B2C" w:rsidRDefault="004E7B2C" w:rsidP="004E7B2C">
      <w:pPr>
        <w:numPr>
          <w:ilvl w:val="1"/>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Afforestation and reforestation</w:t>
      </w:r>
    </w:p>
    <w:p w14:paraId="3D8DEC0B" w14:textId="77777777" w:rsidR="004E7B2C" w:rsidRPr="004E7B2C" w:rsidRDefault="004E7B2C" w:rsidP="004E7B2C">
      <w:pPr>
        <w:numPr>
          <w:ilvl w:val="1"/>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CCS</w:t>
      </w:r>
    </w:p>
    <w:p w14:paraId="08A528E2" w14:textId="77777777" w:rsidR="004E7B2C" w:rsidRPr="004E7B2C" w:rsidRDefault="004E7B2C" w:rsidP="004E7B2C">
      <w:pPr>
        <w:numPr>
          <w:ilvl w:val="1"/>
          <w:numId w:val="5"/>
        </w:numPr>
        <w:spacing w:before="120" w:after="120" w:line="240" w:lineRule="auto"/>
        <w:jc w:val="both"/>
        <w:rPr>
          <w:rFonts w:ascii="Times New Roman" w:hAnsi="Times New Roman" w:cs="Times New Roman"/>
          <w:color w:val="000000" w:themeColor="text1"/>
        </w:rPr>
      </w:pPr>
      <w:r w:rsidRPr="004E7B2C">
        <w:rPr>
          <w:rFonts w:ascii="Times New Roman" w:eastAsia="Times New Roman" w:hAnsi="Times New Roman" w:cs="Times New Roman"/>
          <w:color w:val="000000" w:themeColor="text1"/>
        </w:rPr>
        <w:t xml:space="preserve"> Nuclear energy for next COP </w:t>
      </w:r>
    </w:p>
    <w:p w14:paraId="72F163BC"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 xml:space="preserve">Activities should be revised periodically taking into account specific of each industry </w:t>
      </w:r>
    </w:p>
    <w:p w14:paraId="6E01BCA4" w14:textId="77777777"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Financial flows of SDM projects supporting GCF and REDD+ shall be discussed during next COP.</w:t>
      </w:r>
    </w:p>
    <w:p w14:paraId="2F1D537B" w14:textId="53AEDC7C" w:rsidR="004E7B2C" w:rsidRPr="004E7B2C" w:rsidRDefault="004E7B2C" w:rsidP="004E7B2C">
      <w:pPr>
        <w:numPr>
          <w:ilvl w:val="0"/>
          <w:numId w:val="5"/>
        </w:numPr>
        <w:spacing w:before="120" w:after="12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agree that there shall be a more equitable distribution of SDM projects. To achieve this, a minimum requirement of 10% emission reductions going to NDC targets must come from Least Developed Countries.</w:t>
      </w:r>
    </w:p>
    <w:p w14:paraId="2AAC42AA" w14:textId="4F48ADE6" w:rsidR="004E7B2C" w:rsidRPr="004E7B2C" w:rsidRDefault="004E7B2C" w:rsidP="004E7B2C">
      <w:pPr>
        <w:pStyle w:val="berschrift1"/>
        <w:numPr>
          <w:ilvl w:val="0"/>
          <w:numId w:val="7"/>
        </w:numPr>
        <w:jc w:val="both"/>
        <w:rPr>
          <w:color w:val="000000" w:themeColor="text1"/>
        </w:rPr>
      </w:pPr>
      <w:r w:rsidRPr="004E7B2C">
        <w:rPr>
          <w:color w:val="000000" w:themeColor="text1"/>
        </w:rPr>
        <w:t>REDD+</w:t>
      </w:r>
    </w:p>
    <w:p w14:paraId="32442F1E" w14:textId="77777777" w:rsidR="004E7B2C" w:rsidRPr="004E7B2C" w:rsidRDefault="004E7B2C" w:rsidP="004E7B2C">
      <w:pPr>
        <w:jc w:val="both"/>
        <w:rPr>
          <w:rFonts w:ascii="Times New Roman" w:hAnsi="Times New Roman" w:cs="Times New Roman"/>
          <w:color w:val="000000" w:themeColor="text1"/>
        </w:rPr>
      </w:pPr>
    </w:p>
    <w:p w14:paraId="2D8642F5" w14:textId="77777777" w:rsidR="004E7B2C" w:rsidRPr="004E7B2C" w:rsidRDefault="004E7B2C" w:rsidP="004E7B2C">
      <w:pPr>
        <w:numPr>
          <w:ilvl w:val="0"/>
          <w:numId w:val="4"/>
        </w:numPr>
        <w:spacing w:before="120" w:after="0" w:line="240"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 xml:space="preserve">Recognizing importance of forest and its impacts, not only climate change, but also local communities’ Parties agree that REDD+ as significant step towards more sustainable development;  </w:t>
      </w:r>
    </w:p>
    <w:p w14:paraId="12C38A9F" w14:textId="77777777" w:rsidR="004E7B2C" w:rsidRPr="004E7B2C" w:rsidRDefault="004E7B2C" w:rsidP="004E7B2C">
      <w:pPr>
        <w:numPr>
          <w:ilvl w:val="0"/>
          <w:numId w:val="4"/>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agree that Independent body should be developed to manage and monitor efforts within the scope of REDD+ project to ensure accuracy, flexibility, consistency, comparability and transparency;</w:t>
      </w:r>
    </w:p>
    <w:p w14:paraId="72A9B287" w14:textId="77777777" w:rsidR="004E7B2C" w:rsidRPr="004E7B2C" w:rsidRDefault="004E7B2C" w:rsidP="004E7B2C">
      <w:pPr>
        <w:numPr>
          <w:ilvl w:val="0"/>
          <w:numId w:val="4"/>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agree that all countries shall provide a non-financial support in form of training and assistance of researchers and policymakers, relevant equipment and machines and sharing technological know-how for developing countries on a voluntary basis;</w:t>
      </w:r>
    </w:p>
    <w:p w14:paraId="7332CACB" w14:textId="77777777" w:rsidR="004E7B2C" w:rsidRPr="004E7B2C" w:rsidRDefault="004E7B2C" w:rsidP="004E7B2C">
      <w:pPr>
        <w:numPr>
          <w:ilvl w:val="0"/>
          <w:numId w:val="4"/>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encourage the creation of incentives for forest development and conservation also for private entities;</w:t>
      </w:r>
    </w:p>
    <w:p w14:paraId="7E9AC15B" w14:textId="77777777" w:rsidR="004E7B2C" w:rsidRPr="004E7B2C" w:rsidRDefault="004E7B2C" w:rsidP="004E7B2C">
      <w:pPr>
        <w:numPr>
          <w:ilvl w:val="0"/>
          <w:numId w:val="4"/>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highlight w:val="white"/>
        </w:rPr>
        <w:lastRenderedPageBreak/>
        <w:t xml:space="preserve">Parties recognize that indigenous and traditional </w:t>
      </w:r>
      <w:r w:rsidRPr="004E7B2C">
        <w:rPr>
          <w:rFonts w:ascii="Times New Roman" w:eastAsia="Times New Roman" w:hAnsi="Times New Roman" w:cs="Times New Roman"/>
          <w:color w:val="000000" w:themeColor="text1"/>
        </w:rPr>
        <w:t xml:space="preserve">community-based </w:t>
      </w:r>
      <w:r w:rsidRPr="004E7B2C">
        <w:rPr>
          <w:rFonts w:ascii="Times New Roman" w:eastAsia="Times New Roman" w:hAnsi="Times New Roman" w:cs="Times New Roman"/>
          <w:color w:val="000000" w:themeColor="text1"/>
          <w:highlight w:val="white"/>
        </w:rPr>
        <w:t xml:space="preserve">knowledge shall be incorporated in REDD+ and </w:t>
      </w:r>
      <w:r w:rsidRPr="004E7B2C">
        <w:rPr>
          <w:rFonts w:ascii="Times New Roman" w:eastAsia="Times New Roman" w:hAnsi="Times New Roman" w:cs="Times New Roman"/>
          <w:color w:val="000000" w:themeColor="text1"/>
        </w:rPr>
        <w:t>should be implemented collaboratively by involved parties;</w:t>
      </w:r>
    </w:p>
    <w:p w14:paraId="11F8CAC1" w14:textId="77777777" w:rsidR="004E7B2C" w:rsidRPr="004E7B2C" w:rsidRDefault="004E7B2C" w:rsidP="004E7B2C">
      <w:pPr>
        <w:numPr>
          <w:ilvl w:val="0"/>
          <w:numId w:val="4"/>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REDD+ should be connected to the GCF to facilitate the funding, which will not exclude already established funding models;</w:t>
      </w:r>
    </w:p>
    <w:p w14:paraId="108709FC" w14:textId="77777777" w:rsidR="004E7B2C" w:rsidRPr="004E7B2C" w:rsidRDefault="004E7B2C" w:rsidP="004E7B2C">
      <w:pPr>
        <w:numPr>
          <w:ilvl w:val="0"/>
          <w:numId w:val="4"/>
        </w:numPr>
        <w:spacing w:after="36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agree to establish a grievance mechanism to protect all stakeholders rights especially local communities’ rights.</w:t>
      </w:r>
    </w:p>
    <w:p w14:paraId="61C7EE95" w14:textId="1D9287CA" w:rsidR="004E7B2C" w:rsidRPr="004E7B2C" w:rsidRDefault="004E7B2C" w:rsidP="004E7B2C">
      <w:pPr>
        <w:pStyle w:val="berschrift1"/>
        <w:numPr>
          <w:ilvl w:val="0"/>
          <w:numId w:val="7"/>
        </w:numPr>
        <w:jc w:val="both"/>
        <w:rPr>
          <w:color w:val="000000" w:themeColor="text1"/>
        </w:rPr>
      </w:pPr>
      <w:r w:rsidRPr="004E7B2C">
        <w:rPr>
          <w:color w:val="000000" w:themeColor="text1"/>
        </w:rPr>
        <w:t>AVIATION</w:t>
      </w:r>
    </w:p>
    <w:p w14:paraId="2796C10B" w14:textId="77777777" w:rsidR="004E7B2C" w:rsidRPr="004E7B2C" w:rsidRDefault="004E7B2C" w:rsidP="004E7B2C">
      <w:pPr>
        <w:jc w:val="both"/>
        <w:rPr>
          <w:rFonts w:ascii="Times New Roman" w:eastAsia="Times New Roman" w:hAnsi="Times New Roman" w:cs="Times New Roman"/>
          <w:b/>
          <w:color w:val="000000" w:themeColor="text1"/>
        </w:rPr>
      </w:pPr>
    </w:p>
    <w:p w14:paraId="76E65242" w14:textId="77777777" w:rsidR="004E7B2C" w:rsidRPr="004E7B2C" w:rsidRDefault="004E7B2C" w:rsidP="004E7B2C">
      <w:pPr>
        <w:numPr>
          <w:ilvl w:val="0"/>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The COP has recognized the importance of the reducing emissions related to the aviation industry;</w:t>
      </w:r>
    </w:p>
    <w:p w14:paraId="7CEE954D" w14:textId="77777777" w:rsidR="004E7B2C" w:rsidRPr="004E7B2C" w:rsidRDefault="004E7B2C" w:rsidP="004E7B2C">
      <w:pPr>
        <w:numPr>
          <w:ilvl w:val="0"/>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The parties recognize the importance to invest in technological development and technological collaboration related to aviation to increase the efficiency and be more environmentally friendly;</w:t>
      </w:r>
    </w:p>
    <w:p w14:paraId="67E29764" w14:textId="77777777" w:rsidR="004E7B2C" w:rsidRPr="004E7B2C" w:rsidRDefault="004E7B2C" w:rsidP="004E7B2C">
      <w:pPr>
        <w:numPr>
          <w:ilvl w:val="0"/>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highlight w:val="white"/>
        </w:rPr>
        <w:t xml:space="preserve">Parties agree airlines worldwide </w:t>
      </w:r>
      <w:r w:rsidRPr="004E7B2C">
        <w:rPr>
          <w:rFonts w:ascii="Times New Roman" w:eastAsia="Times New Roman" w:hAnsi="Times New Roman" w:cs="Times New Roman"/>
          <w:color w:val="000000" w:themeColor="text1"/>
        </w:rPr>
        <w:t xml:space="preserve">shall </w:t>
      </w:r>
      <w:r w:rsidRPr="004E7B2C">
        <w:rPr>
          <w:rFonts w:ascii="Times New Roman" w:eastAsia="Times New Roman" w:hAnsi="Times New Roman" w:cs="Times New Roman"/>
          <w:color w:val="000000" w:themeColor="text1"/>
          <w:highlight w:val="white"/>
        </w:rPr>
        <w:t>implement the same monitoring and reporting measures, under the control of independent body.</w:t>
      </w:r>
    </w:p>
    <w:p w14:paraId="7AD6D13C" w14:textId="77777777" w:rsidR="004E7B2C" w:rsidRPr="004E7B2C" w:rsidRDefault="004E7B2C" w:rsidP="004E7B2C">
      <w:pPr>
        <w:numPr>
          <w:ilvl w:val="0"/>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Parties recognize the need to ratchet up mitigation efforts concerning emissions from aviation in coming COPs.</w:t>
      </w:r>
    </w:p>
    <w:p w14:paraId="5854FF78" w14:textId="77777777" w:rsidR="004E7B2C" w:rsidRPr="004E7B2C" w:rsidRDefault="004E7B2C" w:rsidP="004E7B2C">
      <w:pPr>
        <w:numPr>
          <w:ilvl w:val="0"/>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highlight w:val="white"/>
        </w:rPr>
        <w:t xml:space="preserve">Parties agree that Airlines Worldwide </w:t>
      </w:r>
      <w:r w:rsidRPr="004E7B2C">
        <w:rPr>
          <w:rFonts w:ascii="Times New Roman" w:eastAsia="Times New Roman" w:hAnsi="Times New Roman" w:cs="Times New Roman"/>
          <w:color w:val="000000" w:themeColor="text1"/>
        </w:rPr>
        <w:t>shall</w:t>
      </w:r>
      <w:r w:rsidRPr="004E7B2C">
        <w:rPr>
          <w:rFonts w:ascii="Times New Roman" w:eastAsia="Times New Roman" w:hAnsi="Times New Roman" w:cs="Times New Roman"/>
          <w:color w:val="000000" w:themeColor="text1"/>
          <w:highlight w:val="white"/>
        </w:rPr>
        <w:t xml:space="preserve"> contribute financially to the green climate fund, given their responsibility and contribution to climate change.</w:t>
      </w:r>
    </w:p>
    <w:p w14:paraId="2D006FFE" w14:textId="4FD992E2" w:rsidR="004E7B2C" w:rsidRPr="004E7B2C" w:rsidRDefault="004E7B2C" w:rsidP="004E7B2C">
      <w:pPr>
        <w:numPr>
          <w:ilvl w:val="1"/>
          <w:numId w:val="6"/>
        </w:numPr>
        <w:spacing w:after="0" w:line="276" w:lineRule="auto"/>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The detailed contributions shall be determined not later than the next COP.</w:t>
      </w:r>
    </w:p>
    <w:p w14:paraId="04D51FF8" w14:textId="77777777" w:rsidR="004E7B2C" w:rsidRPr="004E7B2C" w:rsidRDefault="004E7B2C" w:rsidP="004E7B2C">
      <w:pPr>
        <w:ind w:firstLine="720"/>
        <w:jc w:val="both"/>
        <w:rPr>
          <w:rFonts w:ascii="Times New Roman" w:eastAsia="Times New Roman" w:hAnsi="Times New Roman" w:cs="Times New Roman"/>
          <w:b/>
          <w:color w:val="000000" w:themeColor="text1"/>
        </w:rPr>
      </w:pPr>
    </w:p>
    <w:p w14:paraId="2A67126F" w14:textId="217D4394" w:rsidR="004E7B2C" w:rsidRPr="004E7B2C" w:rsidRDefault="004E7B2C" w:rsidP="004E7B2C">
      <w:pPr>
        <w:pStyle w:val="berschrift1"/>
        <w:numPr>
          <w:ilvl w:val="0"/>
          <w:numId w:val="7"/>
        </w:numPr>
        <w:jc w:val="both"/>
        <w:rPr>
          <w:color w:val="000000" w:themeColor="text1"/>
        </w:rPr>
      </w:pPr>
      <w:r w:rsidRPr="004E7B2C">
        <w:rPr>
          <w:color w:val="000000" w:themeColor="text1"/>
        </w:rPr>
        <w:t>SHIPPING</w:t>
      </w:r>
    </w:p>
    <w:p w14:paraId="7F382583" w14:textId="77777777" w:rsidR="004E7B2C" w:rsidRPr="004E7B2C" w:rsidRDefault="004E7B2C" w:rsidP="004E7B2C">
      <w:pPr>
        <w:jc w:val="both"/>
        <w:rPr>
          <w:rFonts w:ascii="Times New Roman" w:eastAsia="Times New Roman" w:hAnsi="Times New Roman" w:cs="Times New Roman"/>
          <w:b/>
          <w:color w:val="000000" w:themeColor="text1"/>
        </w:rPr>
      </w:pPr>
    </w:p>
    <w:p w14:paraId="5A88EB68" w14:textId="77777777" w:rsidR="004E7B2C" w:rsidRPr="004E7B2C" w:rsidRDefault="004E7B2C" w:rsidP="004E7B2C">
      <w:pPr>
        <w:pStyle w:val="Listenabsatz"/>
        <w:numPr>
          <w:ilvl w:val="3"/>
          <w:numId w:val="7"/>
        </w:numPr>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The COP has recognized the importance of reducing emissions related to the shipping industry;</w:t>
      </w:r>
    </w:p>
    <w:p w14:paraId="52F92A3F" w14:textId="51BBC8C6" w:rsidR="004E7B2C" w:rsidRPr="004E7B2C" w:rsidRDefault="004E7B2C" w:rsidP="004E7B2C">
      <w:pPr>
        <w:pStyle w:val="Listenabsatz"/>
        <w:numPr>
          <w:ilvl w:val="3"/>
          <w:numId w:val="7"/>
        </w:numPr>
        <w:jc w:val="both"/>
        <w:rPr>
          <w:rFonts w:ascii="Times New Roman" w:eastAsia="Times New Roman" w:hAnsi="Times New Roman" w:cs="Times New Roman"/>
          <w:color w:val="000000" w:themeColor="text1"/>
        </w:rPr>
      </w:pPr>
      <w:r w:rsidRPr="004E7B2C">
        <w:rPr>
          <w:rFonts w:ascii="Times New Roman" w:eastAsia="Times New Roman" w:hAnsi="Times New Roman" w:cs="Times New Roman"/>
          <w:color w:val="000000" w:themeColor="text1"/>
        </w:rPr>
        <w:t>The parties shall</w:t>
      </w:r>
      <w:r w:rsidRPr="004E7B2C">
        <w:rPr>
          <w:rFonts w:ascii="Times New Roman" w:eastAsia="Times New Roman" w:hAnsi="Times New Roman" w:cs="Times New Roman"/>
          <w:b/>
          <w:color w:val="000000" w:themeColor="text1"/>
        </w:rPr>
        <w:t xml:space="preserve"> </w:t>
      </w:r>
      <w:r w:rsidRPr="004E7B2C">
        <w:rPr>
          <w:rFonts w:ascii="Times New Roman" w:eastAsia="Times New Roman" w:hAnsi="Times New Roman" w:cs="Times New Roman"/>
          <w:color w:val="000000" w:themeColor="text1"/>
        </w:rPr>
        <w:t>invest in technological development related to shipping to increase the efficiency and be more environmentally friendly;</w:t>
      </w:r>
    </w:p>
    <w:p w14:paraId="3BD693FF" w14:textId="77777777" w:rsidR="004E7B2C" w:rsidRDefault="004E7B2C" w:rsidP="004E7B2C">
      <w:pPr>
        <w:jc w:val="both"/>
        <w:rPr>
          <w:rFonts w:ascii="Times New Roman" w:eastAsia="Times New Roman" w:hAnsi="Times New Roman" w:cs="Times New Roman"/>
          <w:b/>
          <w:color w:val="212121"/>
        </w:rPr>
      </w:pPr>
    </w:p>
    <w:p w14:paraId="11D1795B" w14:textId="48B387E3" w:rsidR="004E7B2C" w:rsidRPr="004E7B2C" w:rsidRDefault="004E7B2C" w:rsidP="004E7B2C">
      <w:pPr>
        <w:pStyle w:val="berschrift1"/>
        <w:ind w:left="0" w:firstLine="0"/>
        <w:jc w:val="both"/>
        <w:rPr>
          <w:color w:val="000000" w:themeColor="text1"/>
        </w:rPr>
      </w:pPr>
      <w:r>
        <w:rPr>
          <w:color w:val="000000" w:themeColor="text1"/>
        </w:rPr>
        <w:t>ADAPTATION</w:t>
      </w:r>
    </w:p>
    <w:p w14:paraId="20D7CC9D" w14:textId="77777777" w:rsidR="004E7B2C" w:rsidRDefault="004E7B2C" w:rsidP="004E7B2C">
      <w:pPr>
        <w:jc w:val="both"/>
        <w:rPr>
          <w:rFonts w:ascii="Times New Roman" w:eastAsia="Times New Roman" w:hAnsi="Times New Roman" w:cs="Times New Roman"/>
          <w:b/>
          <w:color w:val="212121"/>
        </w:rPr>
      </w:pPr>
    </w:p>
    <w:p w14:paraId="1F2A12D2" w14:textId="5E973704" w:rsidR="004E7B2C" w:rsidRPr="004E7B2C" w:rsidRDefault="004E7B2C" w:rsidP="004E7B2C">
      <w:pPr>
        <w:pStyle w:val="berschrift1"/>
        <w:numPr>
          <w:ilvl w:val="0"/>
          <w:numId w:val="8"/>
        </w:numPr>
        <w:jc w:val="both"/>
        <w:rPr>
          <w:color w:val="000000" w:themeColor="text1"/>
        </w:rPr>
      </w:pPr>
      <w:r>
        <w:rPr>
          <w:color w:val="000000" w:themeColor="text1"/>
        </w:rPr>
        <w:t>ADAPTATION FUND</w:t>
      </w:r>
    </w:p>
    <w:p w14:paraId="2C20D65C" w14:textId="77777777" w:rsidR="004E7B2C" w:rsidRDefault="004E7B2C" w:rsidP="004E7B2C">
      <w:pPr>
        <w:spacing w:after="120" w:line="240" w:lineRule="auto"/>
        <w:jc w:val="both"/>
        <w:rPr>
          <w:rFonts w:ascii="Times New Roman" w:hAnsi="Times New Roman" w:cs="Times New Roman"/>
          <w:i/>
          <w:iCs/>
          <w:color w:val="000000"/>
          <w:lang w:val="en-GB"/>
        </w:rPr>
      </w:pPr>
    </w:p>
    <w:p w14:paraId="7582FB15" w14:textId="77777777" w:rsidR="004E7B2C" w:rsidRPr="004E7B2C" w:rsidRDefault="004E7B2C" w:rsidP="004E7B2C">
      <w:pPr>
        <w:pStyle w:val="Listenabsatz"/>
        <w:numPr>
          <w:ilvl w:val="0"/>
          <w:numId w:val="10"/>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Initialize</w:t>
      </w:r>
      <w:r w:rsidRPr="004E7B2C">
        <w:rPr>
          <w:rFonts w:ascii="Times New Roman" w:hAnsi="Times New Roman" w:cs="Times New Roman"/>
          <w:color w:val="000000"/>
          <w:lang w:val="en-GB"/>
        </w:rPr>
        <w:t xml:space="preserve"> the transition towards integrating the Adaptation Fund under the Green Climate Fund, integrating them as soon as possible but no later than 2 years from now, while being fully conditional upon consensus on the implementation of said integration, giving prioritization in the allocation towards the most vulnerable countries, ensuring traceability of funds, </w:t>
      </w:r>
    </w:p>
    <w:p w14:paraId="565BFEAC" w14:textId="77777777" w:rsidR="004E7B2C" w:rsidRPr="004E7B2C" w:rsidRDefault="004E7B2C" w:rsidP="004E7B2C">
      <w:pPr>
        <w:pStyle w:val="Listenabsatz"/>
        <w:numPr>
          <w:ilvl w:val="0"/>
          <w:numId w:val="10"/>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Urge</w:t>
      </w:r>
      <w:r w:rsidRPr="004E7B2C">
        <w:rPr>
          <w:rFonts w:ascii="Times New Roman" w:hAnsi="Times New Roman" w:cs="Times New Roman"/>
          <w:color w:val="000000"/>
          <w:lang w:val="en-GB"/>
        </w:rPr>
        <w:t xml:space="preserve"> that the allocation of the funds is directed especially towards vulnerable developing countries, and will be based on transparent and simple criteria, as previously laid out by the Adaptation Fund,</w:t>
      </w:r>
    </w:p>
    <w:p w14:paraId="211D85CA" w14:textId="77777777" w:rsidR="004E7B2C" w:rsidRPr="004E7B2C" w:rsidRDefault="004E7B2C" w:rsidP="004E7B2C">
      <w:pPr>
        <w:pStyle w:val="Listenabsatz"/>
        <w:numPr>
          <w:ilvl w:val="0"/>
          <w:numId w:val="10"/>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lastRenderedPageBreak/>
        <w:t>Request</w:t>
      </w:r>
      <w:r w:rsidRPr="004E7B2C">
        <w:rPr>
          <w:rFonts w:ascii="Times New Roman" w:hAnsi="Times New Roman" w:cs="Times New Roman"/>
          <w:color w:val="000000"/>
          <w:lang w:val="en-GB"/>
        </w:rPr>
        <w:t xml:space="preserve"> to strengthen the Adaptation Fund through collaboration with similar multilateral climate funds, sourcing contributions from civil society and sourcing contributions from the private sector,</w:t>
      </w:r>
    </w:p>
    <w:p w14:paraId="1E6F8547" w14:textId="77777777" w:rsidR="004E7B2C" w:rsidRPr="004E7B2C" w:rsidRDefault="004E7B2C" w:rsidP="004E7B2C">
      <w:pPr>
        <w:pStyle w:val="Listenabsatz"/>
        <w:numPr>
          <w:ilvl w:val="0"/>
          <w:numId w:val="10"/>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Also urge</w:t>
      </w:r>
      <w:r w:rsidRPr="004E7B2C">
        <w:rPr>
          <w:rFonts w:ascii="Times New Roman" w:hAnsi="Times New Roman" w:cs="Times New Roman"/>
          <w:color w:val="000000"/>
          <w:lang w:val="en-GB"/>
        </w:rPr>
        <w:t xml:space="preserve"> the implementation of measures to increase adaptation efforts, including increased international cooperation and communication as well as a buddy system in which developed countries support developing countries in a specific field,</w:t>
      </w:r>
    </w:p>
    <w:p w14:paraId="02AB7161" w14:textId="3758BE13" w:rsidR="004E7B2C" w:rsidRPr="004E7B2C" w:rsidRDefault="004E7B2C" w:rsidP="004E7B2C">
      <w:pPr>
        <w:pStyle w:val="Listenabsatz"/>
        <w:numPr>
          <w:ilvl w:val="0"/>
          <w:numId w:val="10"/>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Encourage</w:t>
      </w:r>
      <w:r w:rsidRPr="004E7B2C">
        <w:rPr>
          <w:rFonts w:ascii="Times New Roman" w:hAnsi="Times New Roman" w:cs="Times New Roman"/>
          <w:color w:val="000000"/>
          <w:lang w:val="en-GB"/>
        </w:rPr>
        <w:t xml:space="preserve"> all country Parties to present their National Adaptation Plans as soon as possible,</w:t>
      </w:r>
    </w:p>
    <w:p w14:paraId="7D30FA3B" w14:textId="77777777" w:rsidR="004E7B2C" w:rsidRDefault="004E7B2C" w:rsidP="004E7B2C">
      <w:pPr>
        <w:spacing w:after="120" w:line="240" w:lineRule="auto"/>
        <w:jc w:val="both"/>
        <w:rPr>
          <w:rFonts w:ascii="Times New Roman" w:hAnsi="Times New Roman" w:cs="Times New Roman"/>
          <w:b/>
          <w:bCs/>
          <w:color w:val="000000"/>
          <w:lang w:val="en-GB"/>
        </w:rPr>
      </w:pPr>
    </w:p>
    <w:p w14:paraId="275E427C" w14:textId="5AE95DD2" w:rsidR="004E7B2C" w:rsidRPr="004E7B2C" w:rsidRDefault="004E7B2C" w:rsidP="004E7B2C">
      <w:pPr>
        <w:pStyle w:val="berschrift1"/>
        <w:numPr>
          <w:ilvl w:val="0"/>
          <w:numId w:val="8"/>
        </w:numPr>
        <w:jc w:val="both"/>
        <w:rPr>
          <w:color w:val="000000" w:themeColor="text1"/>
        </w:rPr>
      </w:pPr>
      <w:r>
        <w:rPr>
          <w:color w:val="000000" w:themeColor="text1"/>
        </w:rPr>
        <w:t>TECHNOLOGY DEVELOPMENT AND TRANSFER</w:t>
      </w:r>
    </w:p>
    <w:p w14:paraId="5AFC97F4" w14:textId="77777777" w:rsidR="004E7B2C" w:rsidRDefault="004E7B2C" w:rsidP="004E7B2C">
      <w:pPr>
        <w:spacing w:after="120" w:line="240" w:lineRule="auto"/>
        <w:jc w:val="both"/>
        <w:rPr>
          <w:rFonts w:ascii="Times New Roman" w:hAnsi="Times New Roman" w:cs="Times New Roman"/>
          <w:b/>
          <w:bCs/>
          <w:color w:val="000000"/>
          <w:lang w:val="en-GB"/>
        </w:rPr>
      </w:pPr>
    </w:p>
    <w:p w14:paraId="7FF102C7"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 xml:space="preserve">Underline </w:t>
      </w:r>
      <w:r w:rsidRPr="004E7B2C">
        <w:rPr>
          <w:rFonts w:ascii="Times New Roman" w:hAnsi="Times New Roman" w:cs="Times New Roman"/>
          <w:color w:val="000000"/>
          <w:lang w:val="en-GB"/>
        </w:rPr>
        <w:t>the urgency of implementing commitments related to (1) financing and transfer of technology as well as (2) enhancing the link between technology transfer and finance,</w:t>
      </w:r>
    </w:p>
    <w:p w14:paraId="0727C7EB"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Note</w:t>
      </w:r>
      <w:r w:rsidRPr="004E7B2C">
        <w:rPr>
          <w:rFonts w:ascii="Times New Roman" w:hAnsi="Times New Roman" w:cs="Times New Roman"/>
          <w:color w:val="000000"/>
          <w:lang w:val="en-GB"/>
        </w:rPr>
        <w:t xml:space="preserve"> that all Parties shall promote and cooperate in the development and transfer of technologies that reduce emissions of GHGs,</w:t>
      </w:r>
    </w:p>
    <w:p w14:paraId="4A8C5F2A"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Recognize</w:t>
      </w:r>
      <w:r w:rsidRPr="004E7B2C">
        <w:rPr>
          <w:rFonts w:ascii="Times New Roman" w:hAnsi="Times New Roman" w:cs="Times New Roman"/>
          <w:color w:val="000000"/>
          <w:lang w:val="en-GB"/>
        </w:rPr>
        <w:t xml:space="preserve"> the authority of the Technology Mechanism, the Technology Executive Committee (TEC) and the Climate Technology Centre and Network (CTCN) in enhancing climate technology development and transfer,</w:t>
      </w:r>
    </w:p>
    <w:p w14:paraId="0D1EB38C"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Urge</w:t>
      </w:r>
      <w:r w:rsidRPr="004E7B2C">
        <w:rPr>
          <w:rFonts w:ascii="Times New Roman" w:hAnsi="Times New Roman" w:cs="Times New Roman"/>
          <w:color w:val="000000"/>
          <w:lang w:val="en-GB"/>
        </w:rPr>
        <w:t xml:space="preserve"> all Parties to take the necessary steps to promote, facilitate and finance the transfer of, or access to, clean climate technologies to all other Parties, particularly to vulnerable countries in the short term, </w:t>
      </w:r>
    </w:p>
    <w:p w14:paraId="661247F4"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Invite</w:t>
      </w:r>
      <w:r w:rsidRPr="004E7B2C">
        <w:rPr>
          <w:rFonts w:ascii="Times New Roman" w:hAnsi="Times New Roman" w:cs="Times New Roman"/>
          <w:color w:val="000000"/>
          <w:lang w:val="en-GB"/>
        </w:rPr>
        <w:t xml:space="preserve"> Parties to submit their Technology Needs Assessment for adequate initial allocation of technology and expertise as soon as possible, but no later than May 2020, </w:t>
      </w:r>
    </w:p>
    <w:p w14:paraId="79E36A53"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Request</w:t>
      </w:r>
      <w:r w:rsidRPr="004E7B2C">
        <w:rPr>
          <w:rFonts w:ascii="Times New Roman" w:hAnsi="Times New Roman" w:cs="Times New Roman"/>
          <w:color w:val="000000"/>
          <w:lang w:val="en-GB"/>
        </w:rPr>
        <w:t xml:space="preserve"> to increase financial support to the Technology Mechanism by 1 billion USD by 2025 through voluntary contributions of all Parties, based on strongly suggested guidelines, </w:t>
      </w:r>
    </w:p>
    <w:p w14:paraId="2ADA04E6"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Recommend</w:t>
      </w:r>
      <w:r w:rsidRPr="004E7B2C">
        <w:rPr>
          <w:rFonts w:ascii="Times New Roman" w:hAnsi="Times New Roman" w:cs="Times New Roman"/>
          <w:color w:val="000000"/>
          <w:lang w:val="en-GB"/>
        </w:rPr>
        <w:t xml:space="preserve"> to ensure the protection of Intellectual Property Rights,</w:t>
      </w:r>
    </w:p>
    <w:p w14:paraId="28BF6CCD"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Request</w:t>
      </w:r>
      <w:r w:rsidRPr="004E7B2C">
        <w:rPr>
          <w:rFonts w:ascii="Times New Roman" w:hAnsi="Times New Roman" w:cs="Times New Roman"/>
          <w:color w:val="000000"/>
          <w:lang w:val="en-GB"/>
        </w:rPr>
        <w:t xml:space="preserve"> all country Parties to engage in a binding annual transparent reporting mechanism on technology transfer,</w:t>
      </w:r>
    </w:p>
    <w:p w14:paraId="27D089F1" w14:textId="52BDB489"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lang w:val="en-GB"/>
        </w:rPr>
      </w:pPr>
      <w:r w:rsidRPr="004E7B2C">
        <w:rPr>
          <w:rFonts w:ascii="Times New Roman" w:hAnsi="Times New Roman" w:cs="Times New Roman"/>
          <w:i/>
          <w:iCs/>
          <w:color w:val="000000"/>
          <w:lang w:val="en-GB"/>
        </w:rPr>
        <w:t xml:space="preserve">Stimulate </w:t>
      </w:r>
      <w:r w:rsidRPr="004E7B2C">
        <w:rPr>
          <w:rFonts w:ascii="Times New Roman" w:hAnsi="Times New Roman" w:cs="Times New Roman"/>
          <w:color w:val="000000"/>
          <w:lang w:val="en-GB"/>
        </w:rPr>
        <w:t>the consideration of the use of a standardized and centralized knowledge sharing platform,</w:t>
      </w:r>
    </w:p>
    <w:p w14:paraId="06489A4D" w14:textId="77777777" w:rsidR="004E7B2C" w:rsidRDefault="004E7B2C" w:rsidP="004E7B2C">
      <w:pPr>
        <w:spacing w:after="120" w:line="240" w:lineRule="auto"/>
        <w:jc w:val="both"/>
        <w:rPr>
          <w:rFonts w:ascii="Times New Roman" w:eastAsia="Times New Roman" w:hAnsi="Times New Roman" w:cs="Times New Roman"/>
          <w:sz w:val="24"/>
          <w:szCs w:val="24"/>
          <w:lang w:val="en-GB"/>
        </w:rPr>
      </w:pPr>
    </w:p>
    <w:p w14:paraId="276A2F89" w14:textId="4217A8DD" w:rsidR="004E7B2C" w:rsidRPr="004E7B2C" w:rsidRDefault="004E7B2C" w:rsidP="004E7B2C">
      <w:pPr>
        <w:pStyle w:val="berschrift1"/>
        <w:numPr>
          <w:ilvl w:val="0"/>
          <w:numId w:val="8"/>
        </w:numPr>
        <w:jc w:val="both"/>
        <w:rPr>
          <w:color w:val="000000" w:themeColor="text1"/>
        </w:rPr>
      </w:pPr>
      <w:r>
        <w:rPr>
          <w:color w:val="000000" w:themeColor="text1"/>
        </w:rPr>
        <w:t>LOSS AND DAMAGE</w:t>
      </w:r>
    </w:p>
    <w:p w14:paraId="49E0B11E" w14:textId="77777777" w:rsidR="004E7B2C" w:rsidRPr="004E7B2C" w:rsidRDefault="004E7B2C" w:rsidP="004E7B2C">
      <w:pPr>
        <w:spacing w:after="120" w:line="240" w:lineRule="auto"/>
        <w:jc w:val="both"/>
        <w:rPr>
          <w:rFonts w:ascii="Times New Roman" w:eastAsia="Times New Roman" w:hAnsi="Times New Roman" w:cs="Times New Roman"/>
          <w:sz w:val="24"/>
          <w:szCs w:val="24"/>
          <w:lang w:val="en-GB"/>
        </w:rPr>
      </w:pPr>
    </w:p>
    <w:p w14:paraId="5A331829" w14:textId="77777777" w:rsidR="004E7B2C" w:rsidRPr="004E7B2C" w:rsidRDefault="004E7B2C" w:rsidP="004E7B2C">
      <w:pPr>
        <w:pStyle w:val="Listenabsatz"/>
        <w:numPr>
          <w:ilvl w:val="0"/>
          <w:numId w:val="12"/>
        </w:numPr>
        <w:spacing w:after="120" w:line="240" w:lineRule="auto"/>
        <w:jc w:val="both"/>
        <w:rPr>
          <w:rFonts w:ascii="Times New Roman" w:hAnsi="Times New Roman" w:cs="Times New Roman"/>
          <w:i/>
          <w:iCs/>
          <w:color w:val="000000"/>
          <w:lang w:val="en-GB"/>
        </w:rPr>
      </w:pPr>
      <w:r w:rsidRPr="004E7B2C">
        <w:rPr>
          <w:rFonts w:ascii="Times New Roman" w:hAnsi="Times New Roman" w:cs="Times New Roman"/>
          <w:i/>
          <w:iCs/>
          <w:color w:val="000000"/>
          <w:lang w:val="en-GB"/>
        </w:rPr>
        <w:t>Reaffirm</w:t>
      </w:r>
      <w:r w:rsidRPr="004E7B2C">
        <w:rPr>
          <w:rFonts w:ascii="Times New Roman" w:hAnsi="Times New Roman" w:cs="Times New Roman"/>
          <w:color w:val="000000"/>
          <w:lang w:val="en-GB"/>
        </w:rPr>
        <w:t xml:space="preserve"> the role of The</w:t>
      </w:r>
      <w:hyperlink r:id="rId8" w:history="1">
        <w:r w:rsidRPr="004E7B2C">
          <w:rPr>
            <w:rFonts w:ascii="Times New Roman" w:hAnsi="Times New Roman" w:cs="Times New Roman"/>
            <w:color w:val="000000"/>
            <w:lang w:val="en-GB"/>
          </w:rPr>
          <w:t xml:space="preserve"> Warsaw International Mechanism</w:t>
        </w:r>
      </w:hyperlink>
      <w:r w:rsidRPr="004E7B2C">
        <w:rPr>
          <w:rFonts w:ascii="Times New Roman" w:hAnsi="Times New Roman" w:cs="Times New Roman"/>
          <w:color w:val="000000"/>
          <w:lang w:val="en-GB"/>
        </w:rPr>
        <w:t xml:space="preserve"> for Loss and Damage to promote the implementation of approaches to address loss and damages associated with climate change impacts, in a comprehensive, integrated and coherent manner,</w:t>
      </w:r>
    </w:p>
    <w:p w14:paraId="6F97A5DA" w14:textId="77777777" w:rsidR="004E7B2C" w:rsidRPr="004E7B2C" w:rsidRDefault="004E7B2C" w:rsidP="004E7B2C">
      <w:pPr>
        <w:pStyle w:val="Listenabsatz"/>
        <w:numPr>
          <w:ilvl w:val="0"/>
          <w:numId w:val="12"/>
        </w:numPr>
        <w:spacing w:after="120" w:line="240" w:lineRule="auto"/>
        <w:jc w:val="both"/>
        <w:rPr>
          <w:rFonts w:ascii="Times New Roman" w:hAnsi="Times New Roman" w:cs="Times New Roman"/>
          <w:i/>
          <w:iCs/>
          <w:color w:val="000000"/>
          <w:lang w:val="en-GB"/>
        </w:rPr>
      </w:pPr>
      <w:r w:rsidRPr="004E7B2C">
        <w:rPr>
          <w:rFonts w:ascii="Times New Roman" w:hAnsi="Times New Roman" w:cs="Times New Roman"/>
          <w:i/>
          <w:iCs/>
          <w:color w:val="000000"/>
          <w:lang w:val="en-GB"/>
        </w:rPr>
        <w:t xml:space="preserve">Express its appreciation </w:t>
      </w:r>
      <w:r w:rsidRPr="004E7B2C">
        <w:rPr>
          <w:rFonts w:ascii="Times New Roman" w:hAnsi="Times New Roman" w:cs="Times New Roman"/>
          <w:color w:val="000000"/>
          <w:lang w:val="en-GB"/>
        </w:rPr>
        <w:t>to all parties for their efforts since the twenty fourth Conference of the Parties addressing the importance of loss and damages,</w:t>
      </w:r>
    </w:p>
    <w:p w14:paraId="69FBE8C1" w14:textId="77777777" w:rsidR="004E7B2C" w:rsidRPr="004E7B2C" w:rsidRDefault="004E7B2C" w:rsidP="004E7B2C">
      <w:pPr>
        <w:pStyle w:val="Listenabsatz"/>
        <w:numPr>
          <w:ilvl w:val="0"/>
          <w:numId w:val="12"/>
        </w:numPr>
        <w:spacing w:after="120" w:line="240" w:lineRule="auto"/>
        <w:jc w:val="both"/>
        <w:rPr>
          <w:rFonts w:ascii="Times New Roman" w:hAnsi="Times New Roman" w:cs="Times New Roman"/>
          <w:i/>
          <w:iCs/>
          <w:color w:val="000000"/>
          <w:lang w:val="en-GB"/>
        </w:rPr>
      </w:pPr>
      <w:r w:rsidRPr="004E7B2C">
        <w:rPr>
          <w:rFonts w:ascii="Times New Roman" w:hAnsi="Times New Roman" w:cs="Times New Roman"/>
          <w:i/>
          <w:iCs/>
          <w:color w:val="000000"/>
          <w:lang w:val="en-GB"/>
        </w:rPr>
        <w:t>Agree upon</w:t>
      </w:r>
      <w:r w:rsidRPr="004E7B2C">
        <w:rPr>
          <w:rFonts w:ascii="Times New Roman" w:hAnsi="Times New Roman" w:cs="Times New Roman"/>
          <w:color w:val="000000"/>
          <w:lang w:val="en-GB"/>
        </w:rPr>
        <w:t xml:space="preserve"> the establishment of a Loss &amp; Damage budget integrated under the Green Climate Fund, supplementary to the amount that is already agreed upon for mitigation and adaptation, with a separate and more urgent financing and application procedure,</w:t>
      </w:r>
    </w:p>
    <w:p w14:paraId="5B8FC99E" w14:textId="77777777" w:rsidR="004E7B2C" w:rsidRPr="004E7B2C" w:rsidRDefault="004E7B2C" w:rsidP="004E7B2C">
      <w:pPr>
        <w:pStyle w:val="Listenabsatz"/>
        <w:numPr>
          <w:ilvl w:val="0"/>
          <w:numId w:val="12"/>
        </w:numPr>
        <w:spacing w:after="120" w:line="240" w:lineRule="auto"/>
        <w:jc w:val="both"/>
        <w:rPr>
          <w:rFonts w:ascii="Times New Roman" w:hAnsi="Times New Roman" w:cs="Times New Roman"/>
          <w:i/>
          <w:iCs/>
          <w:color w:val="000000"/>
          <w:lang w:val="en-GB"/>
        </w:rPr>
      </w:pPr>
      <w:r w:rsidRPr="004E7B2C">
        <w:rPr>
          <w:rFonts w:ascii="Times New Roman" w:hAnsi="Times New Roman" w:cs="Times New Roman"/>
          <w:i/>
          <w:iCs/>
          <w:color w:val="000000"/>
          <w:lang w:val="en-GB"/>
        </w:rPr>
        <w:t xml:space="preserve">Further agree </w:t>
      </w:r>
      <w:r w:rsidRPr="004E7B2C">
        <w:rPr>
          <w:rFonts w:ascii="Times New Roman" w:hAnsi="Times New Roman" w:cs="Times New Roman"/>
          <w:color w:val="000000"/>
          <w:lang w:val="en-GB"/>
        </w:rPr>
        <w:t xml:space="preserve">the annual Loss &amp; Damage budget should not be less than 1.5% of the annual Green Climate Fund available, accessible immediately, while the financing of this additional budget will be the subject of priority negotiations during COP26, </w:t>
      </w:r>
    </w:p>
    <w:p w14:paraId="1E5791A0" w14:textId="3636A7F6" w:rsidR="004E7B2C" w:rsidRPr="004E7B2C" w:rsidRDefault="004E7B2C" w:rsidP="004E7B2C">
      <w:pPr>
        <w:pStyle w:val="Listenabsatz"/>
        <w:numPr>
          <w:ilvl w:val="0"/>
          <w:numId w:val="12"/>
        </w:numPr>
        <w:spacing w:after="120" w:line="240" w:lineRule="auto"/>
        <w:jc w:val="both"/>
        <w:rPr>
          <w:rFonts w:ascii="Times New Roman" w:hAnsi="Times New Roman" w:cs="Times New Roman"/>
          <w:i/>
          <w:iCs/>
          <w:color w:val="000000"/>
          <w:lang w:val="en-GB"/>
        </w:rPr>
      </w:pPr>
      <w:r w:rsidRPr="004E7B2C">
        <w:rPr>
          <w:rFonts w:ascii="Times New Roman" w:hAnsi="Times New Roman" w:cs="Times New Roman"/>
          <w:i/>
          <w:iCs/>
          <w:color w:val="000000"/>
          <w:lang w:val="en-GB"/>
        </w:rPr>
        <w:t>Allocate</w:t>
      </w:r>
      <w:r w:rsidRPr="004E7B2C">
        <w:rPr>
          <w:rFonts w:ascii="Times New Roman" w:hAnsi="Times New Roman" w:cs="Times New Roman"/>
          <w:color w:val="000000"/>
          <w:lang w:val="en-GB"/>
        </w:rPr>
        <w:t xml:space="preserve"> the aforementioned Loss &amp; Damage budget to all vulnerable parties facing damage from climate change, prioritizing the most vulnerable and financially weak, and </w:t>
      </w:r>
      <w:r w:rsidRPr="004E7B2C">
        <w:rPr>
          <w:rFonts w:ascii="Times New Roman" w:hAnsi="Times New Roman" w:cs="Times New Roman"/>
          <w:color w:val="000000"/>
          <w:lang w:val="en-GB"/>
        </w:rPr>
        <w:lastRenderedPageBreak/>
        <w:t>implementing a withdrawal cap for developed countries of a total of 10% of the budget, which is to be available in case of absolute emergency,</w:t>
      </w:r>
    </w:p>
    <w:p w14:paraId="39608BD1" w14:textId="0F1B48DD" w:rsidR="004E7B2C" w:rsidRPr="004E7B2C" w:rsidRDefault="004E7B2C" w:rsidP="004E7B2C">
      <w:pPr>
        <w:pStyle w:val="berschrift1"/>
        <w:numPr>
          <w:ilvl w:val="0"/>
          <w:numId w:val="8"/>
        </w:numPr>
        <w:jc w:val="both"/>
        <w:rPr>
          <w:color w:val="000000" w:themeColor="text1"/>
        </w:rPr>
      </w:pPr>
      <w:r>
        <w:rPr>
          <w:color w:val="000000" w:themeColor="text1"/>
        </w:rPr>
        <w:t>CLIMATE REFUGEES</w:t>
      </w:r>
    </w:p>
    <w:p w14:paraId="6079BD50" w14:textId="77777777" w:rsidR="004E7B2C" w:rsidRDefault="004E7B2C" w:rsidP="004E7B2C">
      <w:pPr>
        <w:spacing w:after="120" w:line="240" w:lineRule="auto"/>
        <w:jc w:val="both"/>
        <w:rPr>
          <w:rFonts w:ascii="Times New Roman" w:hAnsi="Times New Roman" w:cs="Times New Roman"/>
          <w:b/>
          <w:bCs/>
          <w:color w:val="000000"/>
          <w:lang w:val="en-GB"/>
        </w:rPr>
      </w:pPr>
    </w:p>
    <w:p w14:paraId="02FEBA51" w14:textId="0AAD1EE3" w:rsidR="004E7B2C" w:rsidRPr="004E7B2C" w:rsidRDefault="004E7B2C" w:rsidP="004E7B2C">
      <w:pPr>
        <w:pStyle w:val="Listenabsatz"/>
        <w:numPr>
          <w:ilvl w:val="3"/>
          <w:numId w:val="8"/>
        </w:numPr>
        <w:spacing w:after="120" w:line="240" w:lineRule="auto"/>
        <w:jc w:val="both"/>
        <w:rPr>
          <w:rFonts w:ascii="Times New Roman" w:hAnsi="Times New Roman" w:cs="Times New Roman"/>
        </w:rPr>
      </w:pPr>
      <w:r w:rsidRPr="004E7B2C">
        <w:rPr>
          <w:rFonts w:ascii="Times New Roman" w:hAnsi="Times New Roman" w:cs="Times New Roman"/>
          <w:i/>
          <w:iCs/>
        </w:rPr>
        <w:t>Note </w:t>
      </w:r>
      <w:r w:rsidRPr="004E7B2C">
        <w:rPr>
          <w:rFonts w:ascii="Times New Roman" w:hAnsi="Times New Roman" w:cs="Times New Roman"/>
        </w:rPr>
        <w:t>that the United Nations Human Rights Council shall define the term "climate refugees" before COP26 and claims of these climate refugees will be judged accordingly,</w:t>
      </w:r>
    </w:p>
    <w:p w14:paraId="128A09E9" w14:textId="77777777"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rPr>
      </w:pPr>
      <w:r w:rsidRPr="004E7B2C">
        <w:rPr>
          <w:rFonts w:ascii="Times New Roman" w:hAnsi="Times New Roman" w:cs="Times New Roman"/>
          <w:i/>
          <w:iCs/>
          <w:color w:val="000000"/>
        </w:rPr>
        <w:t xml:space="preserve">Request </w:t>
      </w:r>
      <w:r w:rsidRPr="004E7B2C">
        <w:rPr>
          <w:rFonts w:ascii="Times New Roman" w:hAnsi="Times New Roman" w:cs="Times New Roman"/>
          <w:color w:val="000000"/>
        </w:rPr>
        <w:t xml:space="preserve">all countries with the capacity to do so to accept climate refugees based on (1) the CBDR principle, (2) on vulnerability to climate change, (3) on economic capabilities, and (4) on political stability, while also considering (5) cultural similarities and differences, as well as (6) national immigration policies - and/or request for these country Parties to provide a financial contribution to other country Parties willing to accept climate refugees, </w:t>
      </w:r>
    </w:p>
    <w:p w14:paraId="217D0A37" w14:textId="54AAF7CD" w:rsidR="004E7B2C" w:rsidRPr="004E7B2C" w:rsidRDefault="004E7B2C" w:rsidP="004E7B2C">
      <w:pPr>
        <w:pStyle w:val="Listenabsatz"/>
        <w:numPr>
          <w:ilvl w:val="3"/>
          <w:numId w:val="8"/>
        </w:numPr>
        <w:spacing w:after="120" w:line="240" w:lineRule="auto"/>
        <w:jc w:val="both"/>
        <w:rPr>
          <w:rFonts w:ascii="Times New Roman" w:hAnsi="Times New Roman" w:cs="Times New Roman"/>
          <w:sz w:val="24"/>
          <w:szCs w:val="24"/>
        </w:rPr>
      </w:pPr>
      <w:r w:rsidRPr="004E7B2C">
        <w:rPr>
          <w:rFonts w:ascii="Times New Roman" w:eastAsia="Times New Roman" w:hAnsi="Times New Roman" w:cs="Times New Roman"/>
          <w:i/>
          <w:iCs/>
          <w:color w:val="000000"/>
        </w:rPr>
        <w:t>Call upon</w:t>
      </w:r>
      <w:r w:rsidRPr="004E7B2C">
        <w:rPr>
          <w:rFonts w:ascii="Times New Roman" w:eastAsia="Times New Roman" w:hAnsi="Times New Roman" w:cs="Times New Roman"/>
          <w:color w:val="000000"/>
        </w:rPr>
        <w:t xml:space="preserve"> the creation of a resettlement budget, funded by, but not excluded to, the financially capable country Parties who are not willing to accept climate refugees within their borders, in accordance with paragraph 2 of this article. </w:t>
      </w:r>
    </w:p>
    <w:p w14:paraId="280E030A" w14:textId="77777777" w:rsidR="004E7B2C" w:rsidRDefault="004E7B2C" w:rsidP="004E7B2C">
      <w:pPr>
        <w:pBdr>
          <w:top w:val="nil"/>
          <w:left w:val="nil"/>
          <w:bottom w:val="nil"/>
          <w:right w:val="nil"/>
          <w:between w:val="nil"/>
        </w:pBdr>
        <w:spacing w:before="120" w:after="40"/>
        <w:ind w:right="1109"/>
        <w:jc w:val="both"/>
        <w:rPr>
          <w:rFonts w:ascii="Times New Roman" w:eastAsia="Times New Roman" w:hAnsi="Times New Roman" w:cs="Times New Roman"/>
          <w:b/>
          <w:sz w:val="20"/>
          <w:szCs w:val="20"/>
        </w:rPr>
      </w:pPr>
    </w:p>
    <w:sectPr w:rsidR="004E7B2C">
      <w:headerReference w:type="default" r:id="rId9"/>
      <w:footerReference w:type="default" r:id="rId10"/>
      <w:footerReference w:type="first" r:id="rId11"/>
      <w:pgSz w:w="11906" w:h="16838"/>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D5B78" w14:textId="77777777" w:rsidR="00B03D82" w:rsidRDefault="00B03D82">
      <w:pPr>
        <w:spacing w:after="0" w:line="240" w:lineRule="auto"/>
      </w:pPr>
      <w:r>
        <w:separator/>
      </w:r>
    </w:p>
  </w:endnote>
  <w:endnote w:type="continuationSeparator" w:id="0">
    <w:p w14:paraId="442D08A9" w14:textId="77777777" w:rsidR="00B03D82" w:rsidRDefault="00B03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F8DD8" w14:textId="79478126" w:rsidR="00A228C3" w:rsidRDefault="00EB627D">
    <w:pPr>
      <w:pBdr>
        <w:top w:val="nil"/>
        <w:left w:val="nil"/>
        <w:bottom w:val="nil"/>
        <w:right w:val="nil"/>
        <w:between w:val="nil"/>
      </w:pBdr>
      <w:tabs>
        <w:tab w:val="center" w:pos="4513"/>
        <w:tab w:val="right" w:pos="9026"/>
      </w:tabs>
      <w:spacing w:after="0" w:line="240" w:lineRule="auto"/>
      <w:rPr>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801A63">
      <w:rPr>
        <w:rFonts w:ascii="Times New Roman" w:eastAsia="Times New Roman" w:hAnsi="Times New Roman" w:cs="Times New Roman"/>
        <w:noProof/>
        <w:color w:val="000000"/>
      </w:rPr>
      <w:t>6</w:t>
    </w:r>
    <w:r>
      <w:rPr>
        <w:rFonts w:ascii="Times New Roman" w:eastAsia="Times New Roman" w:hAnsi="Times New Roman" w:cs="Times New Roman"/>
        <w:color w:val="000000"/>
      </w:rPr>
      <w:fldChar w:fldCharType="end"/>
    </w:r>
  </w:p>
  <w:p w14:paraId="7AE15F8C" w14:textId="77777777" w:rsidR="00A228C3" w:rsidRDefault="00A228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ECEE4" w14:textId="77777777" w:rsidR="00A228C3" w:rsidRDefault="00A228C3">
    <w:pPr>
      <w:pBdr>
        <w:top w:val="nil"/>
        <w:left w:val="nil"/>
        <w:bottom w:val="nil"/>
        <w:right w:val="nil"/>
        <w:between w:val="nil"/>
      </w:pBdr>
      <w:tabs>
        <w:tab w:val="center" w:pos="4513"/>
        <w:tab w:val="right" w:pos="9026"/>
      </w:tabs>
      <w:spacing w:after="0" w:line="240" w:lineRule="auto"/>
      <w:rPr>
        <w:color w:val="000000"/>
      </w:rPr>
    </w:pPr>
  </w:p>
  <w:p w14:paraId="6793C9F5" w14:textId="77777777" w:rsidR="00A228C3" w:rsidRDefault="00EB627D">
    <w:pPr>
      <w:pBdr>
        <w:top w:val="nil"/>
        <w:left w:val="nil"/>
        <w:bottom w:val="nil"/>
        <w:right w:val="nil"/>
        <w:between w:val="nil"/>
      </w:pBdr>
      <w:tabs>
        <w:tab w:val="center" w:pos="4513"/>
        <w:tab w:val="right" w:pos="9026"/>
      </w:tabs>
      <w:spacing w:after="0" w:line="240" w:lineRule="auto"/>
      <w:rPr>
        <w:color w:val="000000"/>
      </w:rPr>
    </w:pPr>
    <w:r>
      <w:rPr>
        <w:color w:val="000000"/>
      </w:rPr>
      <w:tab/>
    </w:r>
    <w:r>
      <w:rPr>
        <w:color w:val="000000"/>
      </w:rPr>
      <w:tab/>
    </w:r>
    <w:r>
      <w:rPr>
        <w:noProof/>
        <w:color w:val="000000"/>
        <w:lang w:val="de-DE"/>
      </w:rPr>
      <w:drawing>
        <wp:inline distT="0" distB="0" distL="0" distR="0" wp14:anchorId="3E5D3BB9" wp14:editId="19C90605">
          <wp:extent cx="1004603" cy="344274"/>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04603" cy="34427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4BA98" w14:textId="77777777" w:rsidR="00B03D82" w:rsidRDefault="00B03D82">
      <w:pPr>
        <w:spacing w:after="0" w:line="240" w:lineRule="auto"/>
      </w:pPr>
      <w:r>
        <w:separator/>
      </w:r>
    </w:p>
  </w:footnote>
  <w:footnote w:type="continuationSeparator" w:id="0">
    <w:p w14:paraId="1E60940B" w14:textId="77777777" w:rsidR="00B03D82" w:rsidRDefault="00B03D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B8979" w14:textId="77777777" w:rsidR="00A228C3" w:rsidRDefault="00A228C3">
    <w:pPr>
      <w:widowControl w:val="0"/>
      <w:pBdr>
        <w:top w:val="nil"/>
        <w:left w:val="nil"/>
        <w:bottom w:val="nil"/>
        <w:right w:val="nil"/>
        <w:between w:val="nil"/>
      </w:pBdr>
      <w:spacing w:after="0" w:line="276" w:lineRule="auto"/>
      <w:rPr>
        <w:rFonts w:ascii="Times New Roman" w:eastAsia="Times New Roman" w:hAnsi="Times New Roman" w:cs="Times New Roman"/>
        <w:b/>
        <w:color w:val="000000"/>
        <w:sz w:val="20"/>
        <w:szCs w:val="20"/>
      </w:rPr>
    </w:pPr>
  </w:p>
  <w:tbl>
    <w:tblPr>
      <w:tblStyle w:val="a0"/>
      <w:tblW w:w="9016" w:type="dxa"/>
      <w:tblBorders>
        <w:top w:val="nil"/>
        <w:left w:val="nil"/>
        <w:bottom w:val="single" w:sz="8" w:space="0" w:color="000000"/>
        <w:right w:val="nil"/>
        <w:insideH w:val="nil"/>
        <w:insideV w:val="nil"/>
      </w:tblBorders>
      <w:tblLayout w:type="fixed"/>
      <w:tblLook w:val="0400" w:firstRow="0" w:lastRow="0" w:firstColumn="0" w:lastColumn="0" w:noHBand="0" w:noVBand="1"/>
    </w:tblPr>
    <w:tblGrid>
      <w:gridCol w:w="9016"/>
    </w:tblGrid>
    <w:tr w:rsidR="00A228C3" w14:paraId="5DC674D5" w14:textId="77777777">
      <w:tc>
        <w:tcPr>
          <w:tcW w:w="9016" w:type="dxa"/>
        </w:tcPr>
        <w:p w14:paraId="2385C43F" w14:textId="77777777" w:rsidR="00A228C3" w:rsidRDefault="00EB627D">
          <w:pPr>
            <w:pBdr>
              <w:top w:val="nil"/>
              <w:left w:val="nil"/>
              <w:bottom w:val="nil"/>
              <w:right w:val="nil"/>
              <w:between w:val="nil"/>
            </w:pBdr>
            <w:tabs>
              <w:tab w:val="center" w:pos="4513"/>
              <w:tab w:val="right" w:pos="9026"/>
            </w:tabs>
            <w:spacing w:line="360" w:lineRule="auto"/>
            <w:jc w:val="right"/>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FCCC/CP/2019/Rev.1</w:t>
          </w:r>
        </w:p>
      </w:tc>
    </w:tr>
  </w:tbl>
  <w:p w14:paraId="217D0851" w14:textId="77777777" w:rsidR="00A228C3" w:rsidRDefault="00A228C3">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rPr>
    </w:pPr>
  </w:p>
  <w:p w14:paraId="54B4C558" w14:textId="77777777" w:rsidR="00A228C3" w:rsidRDefault="00A228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B6351"/>
    <w:multiLevelType w:val="multilevel"/>
    <w:tmpl w:val="D2BAD118"/>
    <w:lvl w:ilvl="0">
      <w:start w:val="1"/>
      <w:numFmt w:val="decimal"/>
      <w:lvlText w:val="%1."/>
      <w:lvlJc w:val="left"/>
      <w:pPr>
        <w:ind w:left="1353" w:hanging="360"/>
      </w:pPr>
      <w:rPr>
        <w:u w:val="none"/>
      </w:rPr>
    </w:lvl>
    <w:lvl w:ilvl="1">
      <w:start w:val="1"/>
      <w:numFmt w:val="lowerLetter"/>
      <w:lvlText w:val="%2."/>
      <w:lvlJc w:val="left"/>
      <w:pPr>
        <w:ind w:left="2073" w:hanging="360"/>
      </w:pPr>
      <w:rPr>
        <w:u w:val="none"/>
      </w:rPr>
    </w:lvl>
    <w:lvl w:ilvl="2">
      <w:start w:val="1"/>
      <w:numFmt w:val="lowerRoman"/>
      <w:lvlText w:val="%3."/>
      <w:lvlJc w:val="right"/>
      <w:pPr>
        <w:ind w:left="2793" w:hanging="360"/>
      </w:pPr>
      <w:rPr>
        <w:u w:val="none"/>
      </w:rPr>
    </w:lvl>
    <w:lvl w:ilvl="3">
      <w:start w:val="1"/>
      <w:numFmt w:val="decimal"/>
      <w:lvlText w:val="%4."/>
      <w:lvlJc w:val="left"/>
      <w:pPr>
        <w:ind w:left="3513" w:hanging="360"/>
      </w:pPr>
      <w:rPr>
        <w:u w:val="none"/>
      </w:rPr>
    </w:lvl>
    <w:lvl w:ilvl="4">
      <w:start w:val="1"/>
      <w:numFmt w:val="lowerLetter"/>
      <w:lvlText w:val="%5."/>
      <w:lvlJc w:val="left"/>
      <w:pPr>
        <w:ind w:left="4233" w:hanging="360"/>
      </w:pPr>
      <w:rPr>
        <w:u w:val="none"/>
      </w:rPr>
    </w:lvl>
    <w:lvl w:ilvl="5">
      <w:start w:val="1"/>
      <w:numFmt w:val="lowerRoman"/>
      <w:lvlText w:val="%6."/>
      <w:lvlJc w:val="right"/>
      <w:pPr>
        <w:ind w:left="4953" w:hanging="360"/>
      </w:pPr>
      <w:rPr>
        <w:u w:val="none"/>
      </w:rPr>
    </w:lvl>
    <w:lvl w:ilvl="6">
      <w:start w:val="1"/>
      <w:numFmt w:val="decimal"/>
      <w:lvlText w:val="%7."/>
      <w:lvlJc w:val="left"/>
      <w:pPr>
        <w:ind w:left="5673" w:hanging="360"/>
      </w:pPr>
      <w:rPr>
        <w:u w:val="none"/>
      </w:rPr>
    </w:lvl>
    <w:lvl w:ilvl="7">
      <w:start w:val="1"/>
      <w:numFmt w:val="lowerLetter"/>
      <w:lvlText w:val="%8."/>
      <w:lvlJc w:val="left"/>
      <w:pPr>
        <w:ind w:left="6393" w:hanging="360"/>
      </w:pPr>
      <w:rPr>
        <w:u w:val="none"/>
      </w:rPr>
    </w:lvl>
    <w:lvl w:ilvl="8">
      <w:start w:val="1"/>
      <w:numFmt w:val="lowerRoman"/>
      <w:lvlText w:val="%9."/>
      <w:lvlJc w:val="right"/>
      <w:pPr>
        <w:ind w:left="7113" w:hanging="360"/>
      </w:pPr>
      <w:rPr>
        <w:u w:val="none"/>
      </w:rPr>
    </w:lvl>
  </w:abstractNum>
  <w:abstractNum w:abstractNumId="1" w15:restartNumberingAfterBreak="0">
    <w:nsid w:val="10DA4152"/>
    <w:multiLevelType w:val="multilevel"/>
    <w:tmpl w:val="C9AAFCF6"/>
    <w:lvl w:ilvl="0">
      <w:start w:val="1"/>
      <w:numFmt w:val="decimal"/>
      <w:lvlText w:val="%1."/>
      <w:lvlJc w:val="left"/>
      <w:pPr>
        <w:ind w:left="3240" w:hanging="360"/>
      </w:pPr>
      <w:rPr>
        <w:rFonts w:ascii="Times New Roman" w:hAnsi="Times New Roman" w:cs="Times New Roman" w:hint="default"/>
        <w:b w:val="0"/>
        <w:i w:val="0"/>
      </w:rPr>
    </w:lvl>
    <w:lvl w:ilvl="1">
      <w:start w:val="1"/>
      <w:numFmt w:val="lowerLetter"/>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2" w15:restartNumberingAfterBreak="0">
    <w:nsid w:val="13500B7A"/>
    <w:multiLevelType w:val="multilevel"/>
    <w:tmpl w:val="C9AAFCF6"/>
    <w:lvl w:ilvl="0">
      <w:start w:val="1"/>
      <w:numFmt w:val="decimal"/>
      <w:lvlText w:val="%1."/>
      <w:lvlJc w:val="left"/>
      <w:pPr>
        <w:ind w:left="1069" w:hanging="360"/>
      </w:pPr>
      <w:rPr>
        <w:rFonts w:ascii="Times New Roman" w:hAnsi="Times New Roman" w:cs="Times New Roman" w:hint="default"/>
        <w:b w:val="0"/>
        <w:i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 w15:restartNumberingAfterBreak="0">
    <w:nsid w:val="16B55586"/>
    <w:multiLevelType w:val="multilevel"/>
    <w:tmpl w:val="B770D6D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1DC3C88"/>
    <w:multiLevelType w:val="multilevel"/>
    <w:tmpl w:val="D49AA728"/>
    <w:lvl w:ilvl="0">
      <w:start w:val="1"/>
      <w:numFmt w:val="decimal"/>
      <w:lvlText w:val="%1."/>
      <w:lvlJc w:val="left"/>
      <w:pPr>
        <w:ind w:left="1353" w:hanging="360"/>
      </w:pPr>
      <w:rPr>
        <w:u w:val="none"/>
      </w:rPr>
    </w:lvl>
    <w:lvl w:ilvl="1">
      <w:start w:val="1"/>
      <w:numFmt w:val="lowerLetter"/>
      <w:lvlText w:val="%2."/>
      <w:lvlJc w:val="left"/>
      <w:pPr>
        <w:ind w:left="2073" w:hanging="360"/>
      </w:pPr>
      <w:rPr>
        <w:u w:val="none"/>
      </w:rPr>
    </w:lvl>
    <w:lvl w:ilvl="2">
      <w:start w:val="1"/>
      <w:numFmt w:val="lowerRoman"/>
      <w:lvlText w:val="%3."/>
      <w:lvlJc w:val="left"/>
      <w:pPr>
        <w:ind w:left="2793" w:hanging="360"/>
      </w:pPr>
      <w:rPr>
        <w:u w:val="none"/>
      </w:rPr>
    </w:lvl>
    <w:lvl w:ilvl="3">
      <w:start w:val="1"/>
      <w:numFmt w:val="decimal"/>
      <w:lvlText w:val="%4."/>
      <w:lvlJc w:val="left"/>
      <w:pPr>
        <w:ind w:left="3513" w:hanging="360"/>
      </w:pPr>
      <w:rPr>
        <w:u w:val="none"/>
      </w:rPr>
    </w:lvl>
    <w:lvl w:ilvl="4">
      <w:start w:val="1"/>
      <w:numFmt w:val="lowerLetter"/>
      <w:lvlText w:val="%5."/>
      <w:lvlJc w:val="left"/>
      <w:pPr>
        <w:ind w:left="4233" w:hanging="360"/>
      </w:pPr>
      <w:rPr>
        <w:u w:val="none"/>
      </w:rPr>
    </w:lvl>
    <w:lvl w:ilvl="5">
      <w:start w:val="1"/>
      <w:numFmt w:val="lowerRoman"/>
      <w:lvlText w:val="%6."/>
      <w:lvlJc w:val="left"/>
      <w:pPr>
        <w:ind w:left="4953" w:hanging="360"/>
      </w:pPr>
      <w:rPr>
        <w:u w:val="none"/>
      </w:rPr>
    </w:lvl>
    <w:lvl w:ilvl="6">
      <w:start w:val="1"/>
      <w:numFmt w:val="decimal"/>
      <w:lvlText w:val="%7."/>
      <w:lvlJc w:val="left"/>
      <w:pPr>
        <w:ind w:left="5673" w:hanging="360"/>
      </w:pPr>
      <w:rPr>
        <w:u w:val="none"/>
      </w:rPr>
    </w:lvl>
    <w:lvl w:ilvl="7">
      <w:start w:val="1"/>
      <w:numFmt w:val="lowerLetter"/>
      <w:lvlText w:val="%8."/>
      <w:lvlJc w:val="left"/>
      <w:pPr>
        <w:ind w:left="6393" w:hanging="360"/>
      </w:pPr>
      <w:rPr>
        <w:u w:val="none"/>
      </w:rPr>
    </w:lvl>
    <w:lvl w:ilvl="8">
      <w:start w:val="1"/>
      <w:numFmt w:val="lowerRoman"/>
      <w:lvlText w:val="%9."/>
      <w:lvlJc w:val="left"/>
      <w:pPr>
        <w:ind w:left="7113" w:hanging="360"/>
      </w:pPr>
      <w:rPr>
        <w:u w:val="none"/>
      </w:rPr>
    </w:lvl>
  </w:abstractNum>
  <w:abstractNum w:abstractNumId="5" w15:restartNumberingAfterBreak="0">
    <w:nsid w:val="2297338D"/>
    <w:multiLevelType w:val="multilevel"/>
    <w:tmpl w:val="BC963B66"/>
    <w:lvl w:ilvl="0">
      <w:start w:val="1"/>
      <w:numFmt w:val="decimal"/>
      <w:lvlText w:val="%1."/>
      <w:lvlJc w:val="left"/>
      <w:pPr>
        <w:ind w:left="1353" w:hanging="360"/>
      </w:pPr>
      <w:rPr>
        <w:u w:val="none"/>
      </w:rPr>
    </w:lvl>
    <w:lvl w:ilvl="1">
      <w:start w:val="1"/>
      <w:numFmt w:val="lowerLetter"/>
      <w:lvlText w:val="%2."/>
      <w:lvlJc w:val="left"/>
      <w:pPr>
        <w:ind w:left="2073" w:hanging="360"/>
      </w:pPr>
      <w:rPr>
        <w:u w:val="none"/>
      </w:rPr>
    </w:lvl>
    <w:lvl w:ilvl="2">
      <w:start w:val="1"/>
      <w:numFmt w:val="lowerRoman"/>
      <w:lvlText w:val="%3."/>
      <w:lvlJc w:val="right"/>
      <w:pPr>
        <w:ind w:left="2793" w:hanging="360"/>
      </w:pPr>
      <w:rPr>
        <w:u w:val="none"/>
      </w:rPr>
    </w:lvl>
    <w:lvl w:ilvl="3">
      <w:start w:val="1"/>
      <w:numFmt w:val="decimal"/>
      <w:lvlText w:val="%4."/>
      <w:lvlJc w:val="left"/>
      <w:pPr>
        <w:ind w:left="3513" w:hanging="360"/>
      </w:pPr>
      <w:rPr>
        <w:u w:val="none"/>
      </w:rPr>
    </w:lvl>
    <w:lvl w:ilvl="4">
      <w:start w:val="1"/>
      <w:numFmt w:val="lowerLetter"/>
      <w:lvlText w:val="%5."/>
      <w:lvlJc w:val="left"/>
      <w:pPr>
        <w:ind w:left="4233" w:hanging="360"/>
      </w:pPr>
      <w:rPr>
        <w:u w:val="none"/>
      </w:rPr>
    </w:lvl>
    <w:lvl w:ilvl="5">
      <w:start w:val="1"/>
      <w:numFmt w:val="lowerRoman"/>
      <w:lvlText w:val="%6."/>
      <w:lvlJc w:val="right"/>
      <w:pPr>
        <w:ind w:left="4953" w:hanging="360"/>
      </w:pPr>
      <w:rPr>
        <w:u w:val="none"/>
      </w:rPr>
    </w:lvl>
    <w:lvl w:ilvl="6">
      <w:start w:val="1"/>
      <w:numFmt w:val="decimal"/>
      <w:lvlText w:val="%7."/>
      <w:lvlJc w:val="left"/>
      <w:pPr>
        <w:ind w:left="5673" w:hanging="360"/>
      </w:pPr>
      <w:rPr>
        <w:u w:val="none"/>
      </w:rPr>
    </w:lvl>
    <w:lvl w:ilvl="7">
      <w:start w:val="1"/>
      <w:numFmt w:val="lowerLetter"/>
      <w:lvlText w:val="%8."/>
      <w:lvlJc w:val="left"/>
      <w:pPr>
        <w:ind w:left="6393" w:hanging="360"/>
      </w:pPr>
      <w:rPr>
        <w:u w:val="none"/>
      </w:rPr>
    </w:lvl>
    <w:lvl w:ilvl="8">
      <w:start w:val="1"/>
      <w:numFmt w:val="lowerRoman"/>
      <w:lvlText w:val="%9."/>
      <w:lvlJc w:val="right"/>
      <w:pPr>
        <w:ind w:left="7113" w:hanging="360"/>
      </w:pPr>
      <w:rPr>
        <w:u w:val="none"/>
      </w:rPr>
    </w:lvl>
  </w:abstractNum>
  <w:abstractNum w:abstractNumId="6" w15:restartNumberingAfterBreak="0">
    <w:nsid w:val="24C601D8"/>
    <w:multiLevelType w:val="hybridMultilevel"/>
    <w:tmpl w:val="CE484E22"/>
    <w:lvl w:ilvl="0" w:tplc="43CAF706">
      <w:start w:val="1"/>
      <w:numFmt w:val="decimal"/>
      <w:lvlText w:val="%1."/>
      <w:lvlJc w:val="left"/>
      <w:pPr>
        <w:ind w:left="1211" w:hanging="360"/>
      </w:pPr>
      <w:rPr>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97A664E"/>
    <w:multiLevelType w:val="multilevel"/>
    <w:tmpl w:val="B770D6D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1211"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BA04C12"/>
    <w:multiLevelType w:val="multilevel"/>
    <w:tmpl w:val="B770D6D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1353"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7AC74D2"/>
    <w:multiLevelType w:val="multilevel"/>
    <w:tmpl w:val="B770D6D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B660548"/>
    <w:multiLevelType w:val="hybridMultilevel"/>
    <w:tmpl w:val="B0BEFCA0"/>
    <w:lvl w:ilvl="0" w:tplc="43CAF706">
      <w:start w:val="1"/>
      <w:numFmt w:val="decimal"/>
      <w:lvlText w:val="%1."/>
      <w:lvlJc w:val="left"/>
      <w:pPr>
        <w:ind w:left="1211" w:hanging="360"/>
      </w:pPr>
      <w:rPr>
        <w:i w:val="0"/>
      </w:rPr>
    </w:lvl>
    <w:lvl w:ilvl="1" w:tplc="04070019" w:tentative="1">
      <w:start w:val="1"/>
      <w:numFmt w:val="lowerLetter"/>
      <w:lvlText w:val="%2."/>
      <w:lvlJc w:val="left"/>
      <w:pPr>
        <w:ind w:left="1931" w:hanging="360"/>
      </w:pPr>
    </w:lvl>
    <w:lvl w:ilvl="2" w:tplc="0407001B" w:tentative="1">
      <w:start w:val="1"/>
      <w:numFmt w:val="lowerRoman"/>
      <w:lvlText w:val="%3."/>
      <w:lvlJc w:val="right"/>
      <w:pPr>
        <w:ind w:left="2651" w:hanging="180"/>
      </w:pPr>
    </w:lvl>
    <w:lvl w:ilvl="3" w:tplc="0407000F" w:tentative="1">
      <w:start w:val="1"/>
      <w:numFmt w:val="decimal"/>
      <w:lvlText w:val="%4."/>
      <w:lvlJc w:val="left"/>
      <w:pPr>
        <w:ind w:left="3371" w:hanging="360"/>
      </w:pPr>
    </w:lvl>
    <w:lvl w:ilvl="4" w:tplc="04070019" w:tentative="1">
      <w:start w:val="1"/>
      <w:numFmt w:val="lowerLetter"/>
      <w:lvlText w:val="%5."/>
      <w:lvlJc w:val="left"/>
      <w:pPr>
        <w:ind w:left="4091" w:hanging="360"/>
      </w:pPr>
    </w:lvl>
    <w:lvl w:ilvl="5" w:tplc="0407001B" w:tentative="1">
      <w:start w:val="1"/>
      <w:numFmt w:val="lowerRoman"/>
      <w:lvlText w:val="%6."/>
      <w:lvlJc w:val="right"/>
      <w:pPr>
        <w:ind w:left="4811" w:hanging="180"/>
      </w:pPr>
    </w:lvl>
    <w:lvl w:ilvl="6" w:tplc="0407000F" w:tentative="1">
      <w:start w:val="1"/>
      <w:numFmt w:val="decimal"/>
      <w:lvlText w:val="%7."/>
      <w:lvlJc w:val="left"/>
      <w:pPr>
        <w:ind w:left="5531" w:hanging="360"/>
      </w:pPr>
    </w:lvl>
    <w:lvl w:ilvl="7" w:tplc="04070019" w:tentative="1">
      <w:start w:val="1"/>
      <w:numFmt w:val="lowerLetter"/>
      <w:lvlText w:val="%8."/>
      <w:lvlJc w:val="left"/>
      <w:pPr>
        <w:ind w:left="6251" w:hanging="360"/>
      </w:pPr>
    </w:lvl>
    <w:lvl w:ilvl="8" w:tplc="0407001B" w:tentative="1">
      <w:start w:val="1"/>
      <w:numFmt w:val="lowerRoman"/>
      <w:lvlText w:val="%9."/>
      <w:lvlJc w:val="right"/>
      <w:pPr>
        <w:ind w:left="6971" w:hanging="180"/>
      </w:pPr>
    </w:lvl>
  </w:abstractNum>
  <w:abstractNum w:abstractNumId="11" w15:restartNumberingAfterBreak="0">
    <w:nsid w:val="4BF77566"/>
    <w:multiLevelType w:val="multilevel"/>
    <w:tmpl w:val="B770D6D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89472D2"/>
    <w:multiLevelType w:val="multilevel"/>
    <w:tmpl w:val="898EA702"/>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 w15:restartNumberingAfterBreak="0">
    <w:nsid w:val="74955C09"/>
    <w:multiLevelType w:val="hybridMultilevel"/>
    <w:tmpl w:val="1BF02B1C"/>
    <w:lvl w:ilvl="0" w:tplc="0407000F">
      <w:start w:val="1"/>
      <w:numFmt w:val="decimal"/>
      <w:lvlText w:val="%1."/>
      <w:lvlJc w:val="left"/>
      <w:pPr>
        <w:ind w:left="1211" w:hanging="360"/>
      </w:pPr>
    </w:lvl>
    <w:lvl w:ilvl="1" w:tplc="04070019" w:tentative="1">
      <w:start w:val="1"/>
      <w:numFmt w:val="lowerLetter"/>
      <w:lvlText w:val="%2."/>
      <w:lvlJc w:val="left"/>
      <w:pPr>
        <w:ind w:left="1931" w:hanging="360"/>
      </w:pPr>
    </w:lvl>
    <w:lvl w:ilvl="2" w:tplc="0407001B" w:tentative="1">
      <w:start w:val="1"/>
      <w:numFmt w:val="lowerRoman"/>
      <w:lvlText w:val="%3."/>
      <w:lvlJc w:val="right"/>
      <w:pPr>
        <w:ind w:left="2651" w:hanging="180"/>
      </w:pPr>
    </w:lvl>
    <w:lvl w:ilvl="3" w:tplc="0407000F" w:tentative="1">
      <w:start w:val="1"/>
      <w:numFmt w:val="decimal"/>
      <w:lvlText w:val="%4."/>
      <w:lvlJc w:val="left"/>
      <w:pPr>
        <w:ind w:left="3371" w:hanging="360"/>
      </w:pPr>
    </w:lvl>
    <w:lvl w:ilvl="4" w:tplc="04070019" w:tentative="1">
      <w:start w:val="1"/>
      <w:numFmt w:val="lowerLetter"/>
      <w:lvlText w:val="%5."/>
      <w:lvlJc w:val="left"/>
      <w:pPr>
        <w:ind w:left="4091" w:hanging="360"/>
      </w:pPr>
    </w:lvl>
    <w:lvl w:ilvl="5" w:tplc="0407001B" w:tentative="1">
      <w:start w:val="1"/>
      <w:numFmt w:val="lowerRoman"/>
      <w:lvlText w:val="%6."/>
      <w:lvlJc w:val="right"/>
      <w:pPr>
        <w:ind w:left="4811" w:hanging="180"/>
      </w:pPr>
    </w:lvl>
    <w:lvl w:ilvl="6" w:tplc="0407000F" w:tentative="1">
      <w:start w:val="1"/>
      <w:numFmt w:val="decimal"/>
      <w:lvlText w:val="%7."/>
      <w:lvlJc w:val="left"/>
      <w:pPr>
        <w:ind w:left="5531" w:hanging="360"/>
      </w:pPr>
    </w:lvl>
    <w:lvl w:ilvl="7" w:tplc="04070019" w:tentative="1">
      <w:start w:val="1"/>
      <w:numFmt w:val="lowerLetter"/>
      <w:lvlText w:val="%8."/>
      <w:lvlJc w:val="left"/>
      <w:pPr>
        <w:ind w:left="6251" w:hanging="360"/>
      </w:pPr>
    </w:lvl>
    <w:lvl w:ilvl="8" w:tplc="0407001B" w:tentative="1">
      <w:start w:val="1"/>
      <w:numFmt w:val="lowerRoman"/>
      <w:lvlText w:val="%9."/>
      <w:lvlJc w:val="right"/>
      <w:pPr>
        <w:ind w:left="6971" w:hanging="180"/>
      </w:pPr>
    </w:lvl>
  </w:abstractNum>
  <w:abstractNum w:abstractNumId="14" w15:restartNumberingAfterBreak="0">
    <w:nsid w:val="779E359A"/>
    <w:multiLevelType w:val="multilevel"/>
    <w:tmpl w:val="C9AAFCF6"/>
    <w:lvl w:ilvl="0">
      <w:start w:val="1"/>
      <w:numFmt w:val="decimal"/>
      <w:lvlText w:val="%1."/>
      <w:lvlJc w:val="left"/>
      <w:pPr>
        <w:ind w:left="1069" w:hanging="360"/>
      </w:pPr>
      <w:rPr>
        <w:rFonts w:ascii="Times New Roman" w:hAnsi="Times New Roman" w:cs="Times New Roman" w:hint="default"/>
        <w:b w:val="0"/>
        <w:i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2"/>
  </w:num>
  <w:num w:numId="2">
    <w:abstractNumId w:val="9"/>
  </w:num>
  <w:num w:numId="3">
    <w:abstractNumId w:val="1"/>
  </w:num>
  <w:num w:numId="4">
    <w:abstractNumId w:val="0"/>
  </w:num>
  <w:num w:numId="5">
    <w:abstractNumId w:val="5"/>
  </w:num>
  <w:num w:numId="6">
    <w:abstractNumId w:val="4"/>
  </w:num>
  <w:num w:numId="7">
    <w:abstractNumId w:val="8"/>
  </w:num>
  <w:num w:numId="8">
    <w:abstractNumId w:val="7"/>
  </w:num>
  <w:num w:numId="9">
    <w:abstractNumId w:val="3"/>
  </w:num>
  <w:num w:numId="10">
    <w:abstractNumId w:val="13"/>
  </w:num>
  <w:num w:numId="11">
    <w:abstractNumId w:val="11"/>
  </w:num>
  <w:num w:numId="12">
    <w:abstractNumId w:val="10"/>
  </w:num>
  <w:num w:numId="13">
    <w:abstractNumId w:val="6"/>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8C3"/>
    <w:rsid w:val="000E73B8"/>
    <w:rsid w:val="00404664"/>
    <w:rsid w:val="004E7B2C"/>
    <w:rsid w:val="0068254F"/>
    <w:rsid w:val="00700796"/>
    <w:rsid w:val="00704C67"/>
    <w:rsid w:val="0075766E"/>
    <w:rsid w:val="00801A63"/>
    <w:rsid w:val="00905E61"/>
    <w:rsid w:val="00917A15"/>
    <w:rsid w:val="00A228C3"/>
    <w:rsid w:val="00A3503B"/>
    <w:rsid w:val="00B03D82"/>
    <w:rsid w:val="00B27523"/>
    <w:rsid w:val="00EB1177"/>
    <w:rsid w:val="00EB627D"/>
    <w:rsid w:val="00F336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78428"/>
  <w15:docId w15:val="{7F1E2FE6-08C2-4FFB-9134-0CFFBF0E3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240" w:after="0"/>
      <w:ind w:left="1080" w:hanging="720"/>
      <w:outlineLvl w:val="0"/>
    </w:pPr>
    <w:rPr>
      <w:rFonts w:ascii="Times New Roman" w:eastAsia="Times New Roman" w:hAnsi="Times New Roman" w:cs="Times New Roman"/>
      <w:b/>
      <w:sz w:val="28"/>
      <w:szCs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NormaleTabelle"/>
    <w:pPr>
      <w:spacing w:after="0" w:line="240" w:lineRule="auto"/>
    </w:pPr>
    <w:tblPr>
      <w:tblStyleRowBandSize w:val="1"/>
      <w:tblStyleColBandSize w:val="1"/>
    </w:tblPr>
  </w:style>
  <w:style w:type="table" w:customStyle="1" w:styleId="a0">
    <w:basedOn w:val="NormaleTabelle"/>
    <w:pPr>
      <w:spacing w:after="0" w:line="240" w:lineRule="auto"/>
    </w:pPr>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917A1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17A15"/>
    <w:rPr>
      <w:rFonts w:ascii="Segoe UI" w:hAnsi="Segoe UI" w:cs="Segoe UI"/>
      <w:sz w:val="18"/>
      <w:szCs w:val="18"/>
    </w:rPr>
  </w:style>
  <w:style w:type="paragraph" w:styleId="Listenabsatz">
    <w:name w:val="List Paragraph"/>
    <w:basedOn w:val="Standard"/>
    <w:uiPriority w:val="34"/>
    <w:qFormat/>
    <w:rsid w:val="004E7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node/1649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1695</Words>
  <Characters>10685</Characters>
  <Application>Microsoft Office Word</Application>
  <DocSecurity>0</DocSecurity>
  <Lines>89</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andrin monstein</cp:lastModifiedBy>
  <cp:revision>2</cp:revision>
  <dcterms:created xsi:type="dcterms:W3CDTF">2019-05-12T15:34:00Z</dcterms:created>
  <dcterms:modified xsi:type="dcterms:W3CDTF">2019-05-12T15:34:00Z</dcterms:modified>
</cp:coreProperties>
</file>